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8FCE9" w14:textId="5ABDC6D1" w:rsidR="000C316C" w:rsidRDefault="000C316C" w:rsidP="00C1474A">
      <w:pPr>
        <w:pStyle w:val="Heading2"/>
        <w:ind w:left="0" w:firstLine="0"/>
      </w:pPr>
      <w:r>
        <w:rPr>
          <w:noProof/>
          <w:lang w:eastAsia="en-GB"/>
        </w:rPr>
        <w:drawing>
          <wp:inline distT="0" distB="0" distL="0" distR="0" wp14:anchorId="7BDBCA64" wp14:editId="39F052D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0" w:name="_GoBack"/>
      <w:bookmarkEnd w:id="0"/>
    </w:p>
    <w:p w14:paraId="5B674D10" w14:textId="77777777" w:rsidR="0043571A" w:rsidRDefault="0043571A" w:rsidP="0043571A"/>
    <w:p w14:paraId="25044A43" w14:textId="270E9BDD" w:rsidR="0043571A" w:rsidRPr="00DC323D" w:rsidRDefault="00DC323D" w:rsidP="0043571A">
      <w:pPr>
        <w:rPr>
          <w:b/>
          <w:sz w:val="28"/>
          <w:szCs w:val="28"/>
        </w:rPr>
      </w:pPr>
      <w:r w:rsidRPr="00DC323D">
        <w:rPr>
          <w:b/>
          <w:sz w:val="28"/>
          <w:szCs w:val="28"/>
        </w:rPr>
        <w:t>12 October 2017</w:t>
      </w:r>
    </w:p>
    <w:p w14:paraId="30A1B1F3" w14:textId="76A3025C" w:rsidR="0043571A" w:rsidRPr="00DC323D" w:rsidRDefault="00DC323D" w:rsidP="0043571A">
      <w:pPr>
        <w:rPr>
          <w:b/>
          <w:sz w:val="28"/>
          <w:szCs w:val="28"/>
        </w:rPr>
      </w:pPr>
      <w:r w:rsidRPr="00DC323D">
        <w:rPr>
          <w:b/>
          <w:sz w:val="28"/>
          <w:szCs w:val="28"/>
        </w:rPr>
        <w:t>[28-17</w:t>
      </w:r>
      <w:r w:rsidR="0043571A" w:rsidRPr="00DC323D">
        <w:rPr>
          <w:b/>
          <w:sz w:val="28"/>
          <w:szCs w:val="28"/>
        </w:rPr>
        <w:t>]</w:t>
      </w:r>
    </w:p>
    <w:p w14:paraId="4634874D" w14:textId="77777777" w:rsidR="0043571A" w:rsidRPr="0057615C" w:rsidRDefault="0043571A" w:rsidP="0043571A">
      <w:pPr>
        <w:pStyle w:val="FSTitle"/>
        <w:rPr>
          <w:b/>
          <w:sz w:val="22"/>
        </w:rPr>
      </w:pPr>
    </w:p>
    <w:p w14:paraId="77B6EA5F" w14:textId="56B65741" w:rsidR="00F46399" w:rsidRDefault="000C316C" w:rsidP="00FD4B46">
      <w:pPr>
        <w:pStyle w:val="Heading1"/>
        <w:rPr>
          <w:sz w:val="32"/>
          <w:szCs w:val="32"/>
        </w:rPr>
      </w:pPr>
      <w:r w:rsidRPr="00AB7736">
        <w:rPr>
          <w:sz w:val="32"/>
          <w:szCs w:val="32"/>
        </w:rPr>
        <w:t>Supporting Document 1</w:t>
      </w:r>
    </w:p>
    <w:p w14:paraId="7255EF48" w14:textId="77777777" w:rsidR="0043571A" w:rsidRPr="00AB7736" w:rsidRDefault="0043571A" w:rsidP="0043571A">
      <w:pPr>
        <w:pStyle w:val="FSTitle"/>
      </w:pPr>
      <w:r w:rsidRPr="00AB7736">
        <w:t>Summary of Submissions – P1034</w:t>
      </w:r>
    </w:p>
    <w:p w14:paraId="7EB8916E" w14:textId="77777777" w:rsidR="0043571A" w:rsidRPr="00AB7736" w:rsidRDefault="0043571A" w:rsidP="0043571A">
      <w:pPr>
        <w:pStyle w:val="FSTitle"/>
      </w:pPr>
    </w:p>
    <w:p w14:paraId="288ACB74" w14:textId="65C98322" w:rsidR="0043571A" w:rsidRPr="00AB7736" w:rsidRDefault="0043571A" w:rsidP="0043571A">
      <w:pPr>
        <w:pStyle w:val="FSTitle"/>
      </w:pPr>
      <w:r w:rsidRPr="00AB7736">
        <w:t>Chemical Migration from Packaging into Food (Abandonment)</w:t>
      </w:r>
    </w:p>
    <w:p w14:paraId="75522C21" w14:textId="77777777" w:rsidR="0043571A" w:rsidRPr="00B37BF0" w:rsidRDefault="0043571A" w:rsidP="0043571A">
      <w:pPr>
        <w:pBdr>
          <w:bottom w:val="single" w:sz="12" w:space="1" w:color="auto"/>
        </w:pBdr>
        <w:spacing w:line="280" w:lineRule="exact"/>
        <w:rPr>
          <w:rFonts w:cs="Arial"/>
          <w:bCs/>
        </w:rPr>
      </w:pPr>
    </w:p>
    <w:p w14:paraId="7AFC849C" w14:textId="2A72567B" w:rsidR="0043571A" w:rsidRPr="0043571A" w:rsidRDefault="0043571A" w:rsidP="00AB7736"/>
    <w:p w14:paraId="69FBFBE6" w14:textId="7E46234A" w:rsidR="00365894" w:rsidRDefault="00977C00" w:rsidP="00365894">
      <w:r>
        <w:rPr>
          <w:rFonts w:cs="Arial"/>
        </w:rPr>
        <w:t>Food Standards Australia New Zealand (</w:t>
      </w:r>
      <w:r w:rsidR="00365894">
        <w:rPr>
          <w:rFonts w:cs="Arial"/>
        </w:rPr>
        <w:t>FSANZ</w:t>
      </w:r>
      <w:r>
        <w:rPr>
          <w:rFonts w:cs="Arial"/>
        </w:rPr>
        <w:t>)</w:t>
      </w:r>
      <w:r w:rsidR="00365894">
        <w:rPr>
          <w:rFonts w:cs="Arial"/>
        </w:rPr>
        <w:t xml:space="preserve"> analysed all submissions </w:t>
      </w:r>
      <w:r w:rsidR="00365894" w:rsidRPr="008E139F">
        <w:rPr>
          <w:rFonts w:cs="Arial"/>
        </w:rPr>
        <w:t xml:space="preserve">in response to the </w:t>
      </w:r>
      <w:r w:rsidR="00A732E7">
        <w:rPr>
          <w:rFonts w:cs="Arial"/>
        </w:rPr>
        <w:t xml:space="preserve">two </w:t>
      </w:r>
      <w:r w:rsidR="00365894" w:rsidRPr="008E139F">
        <w:rPr>
          <w:rFonts w:cs="Arial"/>
        </w:rPr>
        <w:t>consultation paper</w:t>
      </w:r>
      <w:r w:rsidR="00365894">
        <w:rPr>
          <w:rFonts w:cs="Arial"/>
        </w:rPr>
        <w:t>s</w:t>
      </w:r>
      <w:r w:rsidR="00365894" w:rsidRPr="008E139F">
        <w:rPr>
          <w:rFonts w:cs="Arial"/>
        </w:rPr>
        <w:t xml:space="preserve"> released in December 2014</w:t>
      </w:r>
      <w:r w:rsidR="00365894">
        <w:rPr>
          <w:rFonts w:cs="Arial"/>
        </w:rPr>
        <w:t xml:space="preserve"> and June 2016</w:t>
      </w:r>
      <w:r w:rsidR="000127E0">
        <w:rPr>
          <w:rFonts w:cs="Arial"/>
        </w:rPr>
        <w:t xml:space="preserve">. </w:t>
      </w:r>
    </w:p>
    <w:p w14:paraId="3E01A171" w14:textId="77777777" w:rsidR="00365894" w:rsidRPr="00365894" w:rsidRDefault="00365894" w:rsidP="00365894"/>
    <w:p w14:paraId="2B823E44" w14:textId="5975A9E8" w:rsidR="001A0479" w:rsidRDefault="001A0479" w:rsidP="00FD4B46">
      <w:pPr>
        <w:pStyle w:val="Heading2"/>
        <w:ind w:left="0" w:firstLine="0"/>
      </w:pPr>
      <w:r w:rsidRPr="001A0479">
        <w:t>Summary of submissions to the P1034 Consultation Paper</w:t>
      </w:r>
      <w:r w:rsidR="00E030F7">
        <w:t xml:space="preserve"> (November 2014</w:t>
      </w:r>
      <w:r>
        <w:t xml:space="preserve">) </w:t>
      </w:r>
    </w:p>
    <w:p w14:paraId="242A7735" w14:textId="77777777" w:rsidR="00365894" w:rsidRDefault="00365894" w:rsidP="00B667E1">
      <w:pPr>
        <w:rPr>
          <w:rFonts w:cs="Arial"/>
        </w:rPr>
      </w:pPr>
    </w:p>
    <w:p w14:paraId="5C86F01B" w14:textId="2C743B0C" w:rsidR="008E7F71" w:rsidRDefault="00EB3DCB" w:rsidP="00B667E1">
      <w:r w:rsidRPr="00EB3DCB">
        <w:t>FSANZ released a</w:t>
      </w:r>
      <w:r w:rsidR="007C3C5B">
        <w:t xml:space="preserve"> C</w:t>
      </w:r>
      <w:r w:rsidRPr="00EB3DCB">
        <w:t xml:space="preserve">onsultation </w:t>
      </w:r>
      <w:r w:rsidR="007C3C5B">
        <w:t>P</w:t>
      </w:r>
      <w:r w:rsidRPr="00EB3DCB">
        <w:t xml:space="preserve">aper in 2014 which raised awareness about the issue and called for information about the size of the packaging market, what packaging is used and what practices packaging manufacturers and food manufacturers are using to manage any risks relating to </w:t>
      </w:r>
      <w:r w:rsidR="00977C00">
        <w:t>chemicals migrating from packaging into food (</w:t>
      </w:r>
      <w:r w:rsidRPr="00EB3DCB">
        <w:t>CMPF</w:t>
      </w:r>
      <w:r w:rsidR="00977C00">
        <w:t>)</w:t>
      </w:r>
      <w:r w:rsidRPr="00EB3DCB">
        <w:t xml:space="preserve">. </w:t>
      </w:r>
      <w:r w:rsidR="00C318D2">
        <w:t xml:space="preserve"> FSANZ </w:t>
      </w:r>
      <w:r>
        <w:t>also asked a range of targeted questions designed to elicit this information.</w:t>
      </w:r>
      <w:r w:rsidR="006E2B8D">
        <w:t xml:space="preserve"> </w:t>
      </w:r>
    </w:p>
    <w:p w14:paraId="39E404AE" w14:textId="77777777" w:rsidR="000E0C9A" w:rsidRDefault="000E0C9A" w:rsidP="00B667E1"/>
    <w:p w14:paraId="0AB17991" w14:textId="56C85033" w:rsidR="008E7F71" w:rsidRDefault="008E7F71" w:rsidP="00B667E1">
      <w:r>
        <w:t xml:space="preserve">The following information is a summary of submissions from the first consultation </w:t>
      </w:r>
      <w:r w:rsidR="000127E0">
        <w:t xml:space="preserve">period. </w:t>
      </w:r>
      <w:r w:rsidR="00336806">
        <w:t>For more detail refer to SD7</w:t>
      </w:r>
      <w:r w:rsidR="00C224E2">
        <w:t xml:space="preserve"> of the June 2016 Call for Submissions Report</w:t>
      </w:r>
      <w:r w:rsidR="00336806">
        <w:rPr>
          <w:rStyle w:val="FootnoteReference"/>
        </w:rPr>
        <w:footnoteReference w:id="2"/>
      </w:r>
      <w:r w:rsidR="00336806">
        <w:t xml:space="preserve">. </w:t>
      </w:r>
    </w:p>
    <w:p w14:paraId="2785BDB5" w14:textId="77777777" w:rsidR="00EB3DCB" w:rsidRPr="00B667E1" w:rsidRDefault="00EB3DCB" w:rsidP="00B667E1"/>
    <w:p w14:paraId="4B30B2D1" w14:textId="77777777" w:rsidR="00696BE1" w:rsidRPr="00252FE7" w:rsidRDefault="00323BE0" w:rsidP="00AB7736">
      <w:pPr>
        <w:pStyle w:val="FSBullet1"/>
      </w:pPr>
      <w:r w:rsidRPr="00252FE7">
        <w:t xml:space="preserve">FSANZ was encouraged to take a proportionate and risk-based approach for the Proposal and for any future regulatory measure introduced. </w:t>
      </w:r>
      <w:r w:rsidR="00F05F4C" w:rsidRPr="00252FE7">
        <w:t>It was noted that w</w:t>
      </w:r>
      <w:r w:rsidRPr="00252FE7">
        <w:t xml:space="preserve">hilst international regulations are more prescriptive, they do not cover all packaging chemicals and may not necessarily be suitable for Australia and New Zealand. They are nevertheless useful for companies looking for current guidance on standards for packaging. </w:t>
      </w:r>
    </w:p>
    <w:p w14:paraId="55DB53BE" w14:textId="77777777" w:rsidR="00696BE1" w:rsidRPr="00252FE7" w:rsidRDefault="00696BE1" w:rsidP="00696BE1"/>
    <w:p w14:paraId="5A28784A" w14:textId="154451F5" w:rsidR="00696BE1" w:rsidRPr="00252FE7" w:rsidRDefault="00323BE0" w:rsidP="00AB7736">
      <w:pPr>
        <w:pStyle w:val="FSBullet1"/>
      </w:pPr>
      <w:r w:rsidRPr="00252FE7">
        <w:t xml:space="preserve">A proportionate response would be for current regulatory requirements to be clarified and </w:t>
      </w:r>
      <w:r w:rsidR="00336806" w:rsidRPr="00252FE7">
        <w:t>Code of Practices (</w:t>
      </w:r>
      <w:r w:rsidRPr="00252FE7">
        <w:t>CoPs</w:t>
      </w:r>
      <w:r w:rsidR="00336806" w:rsidRPr="00252FE7">
        <w:t>)</w:t>
      </w:r>
      <w:r w:rsidRPr="00252FE7">
        <w:t xml:space="preserve"> utilised for various packaging materials in association with guidance for compliance prepared. In contrast</w:t>
      </w:r>
      <w:r w:rsidR="00CF6CD3">
        <w:t>,</w:t>
      </w:r>
      <w:r w:rsidRPr="00252FE7">
        <w:t xml:space="preserve"> prescriptive requirements in the Code would provide certainty and a level playing field for industry</w:t>
      </w:r>
      <w:r w:rsidR="00CF6CD3">
        <w:t>,</w:t>
      </w:r>
      <w:r w:rsidRPr="00252FE7">
        <w:t xml:space="preserve"> and consumers could have confidence that the industry adhered to a Standard which protected their health. </w:t>
      </w:r>
    </w:p>
    <w:p w14:paraId="32B0B4B1" w14:textId="77777777" w:rsidR="00696BE1" w:rsidRPr="00252FE7" w:rsidRDefault="00696BE1" w:rsidP="00696BE1"/>
    <w:p w14:paraId="0C2F3199" w14:textId="5D9B87AC" w:rsidR="00323BE0" w:rsidRDefault="00323BE0" w:rsidP="00AB7736">
      <w:pPr>
        <w:pStyle w:val="FSBullet1"/>
      </w:pPr>
      <w:r w:rsidRPr="00252FE7">
        <w:t xml:space="preserve">Should there be the need for an enhanced regulatory approach, any requirements should be achievable by industry and also appropriate for enforcement agencies, while addressing the risk identified. </w:t>
      </w:r>
    </w:p>
    <w:p w14:paraId="098E65E5" w14:textId="52718737" w:rsidR="00323BE0" w:rsidRDefault="00323BE0" w:rsidP="00696BE1"/>
    <w:p w14:paraId="23D23615" w14:textId="77777777" w:rsidR="00075D11" w:rsidRPr="00252FE7" w:rsidRDefault="00075D11" w:rsidP="00696BE1"/>
    <w:p w14:paraId="36E7B538" w14:textId="77777777" w:rsidR="00323BE0" w:rsidRPr="00252FE7" w:rsidRDefault="00323BE0" w:rsidP="00AB7736">
      <w:pPr>
        <w:pStyle w:val="FSBullet1"/>
      </w:pPr>
      <w:r w:rsidRPr="00252FE7">
        <w:t xml:space="preserve">It was important that companies adopted ‘good manufacturing practices’ and had in place appropriate internal systems, quality assurance, compliance arrangements in the production and use of food packaging materials and kept a watching brief on emerging issues from CMPF. </w:t>
      </w:r>
    </w:p>
    <w:p w14:paraId="721FF391" w14:textId="77777777" w:rsidR="00323BE0" w:rsidRDefault="00323BE0" w:rsidP="00696BE1">
      <w:pPr>
        <w:pStyle w:val="Heading2"/>
        <w:ind w:left="0" w:firstLine="0"/>
      </w:pPr>
    </w:p>
    <w:p w14:paraId="2A7F367A" w14:textId="38182884" w:rsidR="007B2069" w:rsidRDefault="00702A3D" w:rsidP="006A6C07">
      <w:pPr>
        <w:pStyle w:val="Heading2"/>
        <w:ind w:left="0" w:firstLine="0"/>
      </w:pPr>
      <w:r w:rsidRPr="00702A3D">
        <w:t>Summary of submission</w:t>
      </w:r>
      <w:r w:rsidR="006A6C07">
        <w:t>s</w:t>
      </w:r>
      <w:r w:rsidRPr="00702A3D">
        <w:t xml:space="preserve"> to the second P1034 Consultation Paper </w:t>
      </w:r>
      <w:r w:rsidR="00E030F7">
        <w:t>(</w:t>
      </w:r>
      <w:r w:rsidR="007B2069" w:rsidRPr="00702A3D">
        <w:t>June 2016</w:t>
      </w:r>
      <w:r w:rsidR="00E030F7">
        <w:t>)</w:t>
      </w:r>
      <w:r w:rsidR="007B2069" w:rsidRPr="00702A3D">
        <w:t xml:space="preserve"> </w:t>
      </w:r>
    </w:p>
    <w:p w14:paraId="68521C8C" w14:textId="5613A8F0" w:rsidR="002170CA" w:rsidRDefault="002170CA" w:rsidP="002170CA"/>
    <w:p w14:paraId="5A47A5CA" w14:textId="41063DA6" w:rsidR="00252FE7" w:rsidRDefault="00624D8E" w:rsidP="002170CA">
      <w:r w:rsidRPr="00624D8E">
        <w:t xml:space="preserve">A subsequent call for </w:t>
      </w:r>
      <w:r w:rsidR="00C46D45" w:rsidRPr="00624D8E">
        <w:t xml:space="preserve">submissions </w:t>
      </w:r>
      <w:r w:rsidRPr="00624D8E">
        <w:t>rece</w:t>
      </w:r>
      <w:r>
        <w:t xml:space="preserve">ntly released in June 2016 </w:t>
      </w:r>
      <w:r w:rsidRPr="00624D8E">
        <w:t>detailed an assessment of the risk</w:t>
      </w:r>
      <w:r w:rsidR="00C46D45">
        <w:t xml:space="preserve"> and proposed risk management options</w:t>
      </w:r>
      <w:r w:rsidRPr="00624D8E">
        <w:t xml:space="preserve">. </w:t>
      </w:r>
    </w:p>
    <w:p w14:paraId="4398FECD" w14:textId="77777777" w:rsidR="00252FE7" w:rsidRDefault="00252FE7" w:rsidP="002170CA"/>
    <w:p w14:paraId="0052BE09" w14:textId="268F59D5" w:rsidR="00252FE7" w:rsidRDefault="00252FE7" w:rsidP="00252FE7">
      <w:r>
        <w:t xml:space="preserve">FSANZ </w:t>
      </w:r>
      <w:r w:rsidRPr="00D04AC3">
        <w:t xml:space="preserve">assessed the risk of CMPF by developing a risk profile of potential chemical hazards associated with packaging chemicals and analysing control measures used throughout the packaging supply chain to mitigate CMPF. The </w:t>
      </w:r>
      <w:r>
        <w:t>resulting residual risk provided</w:t>
      </w:r>
      <w:r w:rsidRPr="00D04AC3">
        <w:t xml:space="preserve"> a qualit</w:t>
      </w:r>
      <w:r>
        <w:t>ative assessment which indicated</w:t>
      </w:r>
      <w:r w:rsidRPr="00D04AC3">
        <w:t xml:space="preserve"> </w:t>
      </w:r>
      <w:r>
        <w:t xml:space="preserve">that </w:t>
      </w:r>
      <w:r w:rsidRPr="00D04AC3">
        <w:t xml:space="preserve">there are some gaps in </w:t>
      </w:r>
      <w:r w:rsidR="00CF6CD3">
        <w:t xml:space="preserve">the </w:t>
      </w:r>
      <w:r w:rsidRPr="00D04AC3">
        <w:t>current risk management</w:t>
      </w:r>
      <w:r>
        <w:t xml:space="preserve"> of CMPF</w:t>
      </w:r>
      <w:r w:rsidRPr="00D04AC3">
        <w:t>.</w:t>
      </w:r>
      <w:r>
        <w:t xml:space="preserve"> </w:t>
      </w:r>
    </w:p>
    <w:p w14:paraId="5F73CD25" w14:textId="77777777" w:rsidR="00252FE7" w:rsidRDefault="00252FE7" w:rsidP="002170CA"/>
    <w:p w14:paraId="6EEB8401" w14:textId="09B01818" w:rsidR="00252FE7" w:rsidRDefault="00624D8E" w:rsidP="002170CA">
      <w:r w:rsidRPr="00624D8E">
        <w:t xml:space="preserve">The risk profile indicated that most chemicals used to produce food packaging are unlikely to pose a public health and safety concern, predominantly because of their low levels of migration into food. </w:t>
      </w:r>
    </w:p>
    <w:p w14:paraId="52FB9620" w14:textId="77777777" w:rsidR="00252FE7" w:rsidRDefault="00252FE7" w:rsidP="002170CA"/>
    <w:p w14:paraId="33F85E55" w14:textId="77CF78EF" w:rsidR="00252FE7" w:rsidRDefault="00624D8E" w:rsidP="002170CA">
      <w:r w:rsidRPr="00624D8E">
        <w:t>FSANZ concluded that the overall relative risk from CMPF is low. However, for two phthalates, a need was identified for more comprehensive analytical data to enable a more robust assessment of any potential health and safety risks.</w:t>
      </w:r>
      <w:r w:rsidR="006E2B8D">
        <w:t xml:space="preserve"> </w:t>
      </w:r>
    </w:p>
    <w:p w14:paraId="2FF75222" w14:textId="77777777" w:rsidR="003535E7" w:rsidRDefault="003535E7" w:rsidP="002170CA"/>
    <w:p w14:paraId="6D5C36CC" w14:textId="05D37A72" w:rsidR="00022BFB" w:rsidRDefault="00F73E39" w:rsidP="002170CA">
      <w:r>
        <w:t xml:space="preserve">Similar to the first consultation period, FSANZ </w:t>
      </w:r>
      <w:r w:rsidRPr="00F73E39">
        <w:t>also asked a range of targeted qu</w:t>
      </w:r>
      <w:r>
        <w:t xml:space="preserve">estions designed to elicit views on the </w:t>
      </w:r>
      <w:r w:rsidR="00E56DB5">
        <w:t xml:space="preserve">risk profile and </w:t>
      </w:r>
      <w:r w:rsidR="00C46D45">
        <w:t xml:space="preserve">the </w:t>
      </w:r>
      <w:r>
        <w:t>proposed risk management options.</w:t>
      </w:r>
      <w:r w:rsidR="006E2B8D">
        <w:t xml:space="preserve"> </w:t>
      </w:r>
    </w:p>
    <w:p w14:paraId="312C3F6B" w14:textId="77777777" w:rsidR="00E167E9" w:rsidRDefault="00E167E9" w:rsidP="007B2069">
      <w:pPr>
        <w:rPr>
          <w:rFonts w:cs="Arial"/>
        </w:rPr>
      </w:pPr>
    </w:p>
    <w:p w14:paraId="041CC5CE" w14:textId="6E2635B4" w:rsidR="007B2069" w:rsidRDefault="007B2069" w:rsidP="007B2069">
      <w:pPr>
        <w:rPr>
          <w:rFonts w:cs="Arial"/>
        </w:rPr>
      </w:pPr>
      <w:r w:rsidRPr="006A0086">
        <w:rPr>
          <w:rFonts w:cs="Arial"/>
        </w:rPr>
        <w:t>In response to t</w:t>
      </w:r>
      <w:r w:rsidR="00624D8E">
        <w:rPr>
          <w:rFonts w:cs="Arial"/>
        </w:rPr>
        <w:t xml:space="preserve">he </w:t>
      </w:r>
      <w:r>
        <w:rPr>
          <w:rFonts w:cs="Arial"/>
        </w:rPr>
        <w:t>2</w:t>
      </w:r>
      <w:r w:rsidRPr="00403A7F">
        <w:rPr>
          <w:rFonts w:cs="Arial"/>
          <w:vertAlign w:val="superscript"/>
        </w:rPr>
        <w:t>nd</w:t>
      </w:r>
      <w:r w:rsidR="00624D8E">
        <w:rPr>
          <w:rFonts w:cs="Arial"/>
        </w:rPr>
        <w:t xml:space="preserve"> public consultation period</w:t>
      </w:r>
      <w:r w:rsidR="0043571A">
        <w:rPr>
          <w:rFonts w:cs="Arial"/>
        </w:rPr>
        <w:t>,</w:t>
      </w:r>
      <w:r w:rsidR="00624D8E">
        <w:rPr>
          <w:rFonts w:cs="Arial"/>
        </w:rPr>
        <w:t xml:space="preserve"> </w:t>
      </w:r>
      <w:r w:rsidRPr="006A0086">
        <w:rPr>
          <w:rFonts w:cs="Arial"/>
        </w:rPr>
        <w:t>FSANZ received 1</w:t>
      </w:r>
      <w:r>
        <w:rPr>
          <w:rFonts w:cs="Arial"/>
        </w:rPr>
        <w:t>8 submissions from the following sectors:</w:t>
      </w:r>
    </w:p>
    <w:p w14:paraId="5EDD1CF1" w14:textId="77777777" w:rsidR="007B2069" w:rsidRPr="006A0086" w:rsidRDefault="007B2069" w:rsidP="007B2069">
      <w:pPr>
        <w:rPr>
          <w:rFonts w:cs="Arial"/>
        </w:rPr>
      </w:pPr>
    </w:p>
    <w:tbl>
      <w:tblPr>
        <w:tblStyle w:val="TableGrid"/>
        <w:tblW w:w="0" w:type="auto"/>
        <w:tblLook w:val="04A0" w:firstRow="1" w:lastRow="0" w:firstColumn="1" w:lastColumn="0" w:noHBand="0" w:noVBand="1"/>
        <w:tblCaption w:val="Summary of submitter 2nd Consultation period "/>
        <w:tblDescription w:val="This table lists the submitters FSANZ received during the 2nd round of publici consultation. "/>
      </w:tblPr>
      <w:tblGrid>
        <w:gridCol w:w="3652"/>
        <w:gridCol w:w="5634"/>
      </w:tblGrid>
      <w:tr w:rsidR="007B2069" w:rsidRPr="006A0086" w14:paraId="36AECAEE" w14:textId="77777777" w:rsidTr="00711DAB">
        <w:trPr>
          <w:cantSplit/>
          <w:tblHeader/>
        </w:trPr>
        <w:tc>
          <w:tcPr>
            <w:tcW w:w="3652" w:type="dxa"/>
          </w:tcPr>
          <w:p w14:paraId="63AC30BA" w14:textId="0C8EB67A" w:rsidR="007B2069" w:rsidRPr="00786157" w:rsidRDefault="007B2069" w:rsidP="001763BC">
            <w:pPr>
              <w:pStyle w:val="Heading3"/>
              <w:tabs>
                <w:tab w:val="center" w:pos="1718"/>
              </w:tabs>
            </w:pPr>
            <w:r w:rsidRPr="00786157">
              <w:t xml:space="preserve">Sector </w:t>
            </w:r>
            <w:r w:rsidR="001763BC">
              <w:tab/>
            </w:r>
          </w:p>
        </w:tc>
        <w:tc>
          <w:tcPr>
            <w:tcW w:w="5634" w:type="dxa"/>
          </w:tcPr>
          <w:p w14:paraId="5FD62DFA" w14:textId="77777777" w:rsidR="007B2069" w:rsidRPr="00786157" w:rsidRDefault="007B2069" w:rsidP="001763BC">
            <w:pPr>
              <w:pStyle w:val="Heading3"/>
            </w:pPr>
            <w:r w:rsidRPr="00786157">
              <w:t xml:space="preserve">Submitter </w:t>
            </w:r>
          </w:p>
        </w:tc>
      </w:tr>
      <w:tr w:rsidR="007B2069" w:rsidRPr="006A0086" w14:paraId="6BC55881" w14:textId="77777777" w:rsidTr="00864864">
        <w:tc>
          <w:tcPr>
            <w:tcW w:w="3652" w:type="dxa"/>
          </w:tcPr>
          <w:p w14:paraId="6AABD0A5" w14:textId="77777777" w:rsidR="007B2069" w:rsidRPr="00786157" w:rsidRDefault="007B2069" w:rsidP="00864864">
            <w:pPr>
              <w:rPr>
                <w:rFonts w:cs="Arial"/>
                <w:sz w:val="20"/>
                <w:szCs w:val="20"/>
              </w:rPr>
            </w:pPr>
            <w:r w:rsidRPr="00786157">
              <w:rPr>
                <w:rFonts w:cs="Arial"/>
                <w:sz w:val="20"/>
                <w:szCs w:val="20"/>
                <w:lang w:val="en-AU"/>
              </w:rPr>
              <w:t>Industry</w:t>
            </w:r>
          </w:p>
          <w:p w14:paraId="5C702F05" w14:textId="77777777" w:rsidR="007B2069" w:rsidRPr="00786157" w:rsidRDefault="007B2069" w:rsidP="00864864">
            <w:pPr>
              <w:rPr>
                <w:rFonts w:cs="Arial"/>
                <w:sz w:val="20"/>
                <w:szCs w:val="20"/>
              </w:rPr>
            </w:pPr>
          </w:p>
        </w:tc>
        <w:tc>
          <w:tcPr>
            <w:tcW w:w="5634" w:type="dxa"/>
          </w:tcPr>
          <w:p w14:paraId="56C8ADEE" w14:textId="77777777" w:rsidR="007B2069" w:rsidRPr="00786157" w:rsidRDefault="007B2069" w:rsidP="00864864">
            <w:pPr>
              <w:rPr>
                <w:rFonts w:cs="Arial"/>
                <w:sz w:val="20"/>
                <w:szCs w:val="20"/>
              </w:rPr>
            </w:pPr>
            <w:r w:rsidRPr="00786157">
              <w:rPr>
                <w:rFonts w:cs="Arial"/>
                <w:sz w:val="20"/>
                <w:szCs w:val="20"/>
              </w:rPr>
              <w:t>Clorox; DuPont; Nestle; Integrated Packaging Group; Sealed Air; NCI; Dairy Goat Co-operative</w:t>
            </w:r>
          </w:p>
        </w:tc>
      </w:tr>
      <w:tr w:rsidR="007B2069" w:rsidRPr="006A0086" w14:paraId="64E99DF2" w14:textId="77777777" w:rsidTr="00864864">
        <w:tc>
          <w:tcPr>
            <w:tcW w:w="3652" w:type="dxa"/>
          </w:tcPr>
          <w:p w14:paraId="0CE12CED" w14:textId="77777777" w:rsidR="007B2069" w:rsidRPr="00786157" w:rsidRDefault="007B2069" w:rsidP="00864864">
            <w:pPr>
              <w:rPr>
                <w:rFonts w:cs="Arial"/>
                <w:sz w:val="20"/>
                <w:szCs w:val="20"/>
              </w:rPr>
            </w:pPr>
            <w:r w:rsidRPr="00786157">
              <w:rPr>
                <w:rFonts w:cs="Arial"/>
                <w:sz w:val="20"/>
                <w:szCs w:val="20"/>
                <w:lang w:val="en-AU"/>
              </w:rPr>
              <w:t>Peak bodies</w:t>
            </w:r>
          </w:p>
          <w:p w14:paraId="35852E54" w14:textId="77777777" w:rsidR="007B2069" w:rsidRPr="00786157" w:rsidRDefault="007B2069" w:rsidP="00864864">
            <w:pPr>
              <w:rPr>
                <w:rFonts w:cs="Arial"/>
                <w:sz w:val="20"/>
                <w:szCs w:val="20"/>
              </w:rPr>
            </w:pPr>
          </w:p>
        </w:tc>
        <w:tc>
          <w:tcPr>
            <w:tcW w:w="5634" w:type="dxa"/>
          </w:tcPr>
          <w:p w14:paraId="514F2920" w14:textId="77777777" w:rsidR="007B2069" w:rsidRPr="00786157" w:rsidRDefault="007B2069" w:rsidP="00864864">
            <w:pPr>
              <w:rPr>
                <w:rFonts w:cs="Arial"/>
                <w:sz w:val="20"/>
                <w:szCs w:val="20"/>
              </w:rPr>
            </w:pPr>
            <w:r w:rsidRPr="00786157">
              <w:rPr>
                <w:rFonts w:cs="Arial"/>
                <w:sz w:val="20"/>
                <w:szCs w:val="20"/>
                <w:lang w:val="en-AU"/>
              </w:rPr>
              <w:t>NZFGC; AFGC; Vinyl Council of Australia; Packaging Council of NZ; Plastics NZ; SPI (US Plastics industry trade organisation);</w:t>
            </w:r>
          </w:p>
        </w:tc>
      </w:tr>
      <w:tr w:rsidR="007B2069" w:rsidRPr="006A0086" w14:paraId="50805CB8" w14:textId="77777777" w:rsidTr="00864864">
        <w:tc>
          <w:tcPr>
            <w:tcW w:w="3652" w:type="dxa"/>
          </w:tcPr>
          <w:p w14:paraId="715D2746" w14:textId="77777777" w:rsidR="007B2069" w:rsidRPr="00786157" w:rsidRDefault="007B2069" w:rsidP="00864864">
            <w:pPr>
              <w:rPr>
                <w:rFonts w:cs="Arial"/>
                <w:sz w:val="20"/>
                <w:szCs w:val="20"/>
              </w:rPr>
            </w:pPr>
            <w:r w:rsidRPr="00786157">
              <w:rPr>
                <w:rFonts w:cs="Arial"/>
                <w:sz w:val="20"/>
                <w:szCs w:val="20"/>
              </w:rPr>
              <w:t xml:space="preserve">Government </w:t>
            </w:r>
          </w:p>
        </w:tc>
        <w:tc>
          <w:tcPr>
            <w:tcW w:w="5634" w:type="dxa"/>
          </w:tcPr>
          <w:p w14:paraId="1DB8AAE2" w14:textId="77777777" w:rsidR="007B2069" w:rsidRPr="00786157" w:rsidRDefault="007B2069" w:rsidP="00864864">
            <w:pPr>
              <w:rPr>
                <w:rFonts w:cs="Arial"/>
                <w:sz w:val="20"/>
                <w:szCs w:val="20"/>
              </w:rPr>
            </w:pPr>
            <w:r w:rsidRPr="00786157">
              <w:rPr>
                <w:rFonts w:cs="Arial"/>
                <w:sz w:val="20"/>
                <w:szCs w:val="20"/>
                <w:lang w:val="en-AU"/>
              </w:rPr>
              <w:t>Queensland; Victoria; NSWFA; NZ MPI</w:t>
            </w:r>
          </w:p>
        </w:tc>
      </w:tr>
      <w:tr w:rsidR="007B2069" w:rsidRPr="006A0086" w14:paraId="0F54B63B" w14:textId="77777777" w:rsidTr="00864864">
        <w:tc>
          <w:tcPr>
            <w:tcW w:w="3652" w:type="dxa"/>
          </w:tcPr>
          <w:p w14:paraId="6771D6A8" w14:textId="77777777" w:rsidR="007B2069" w:rsidRPr="00786157" w:rsidRDefault="007B2069" w:rsidP="00864864">
            <w:pPr>
              <w:rPr>
                <w:rFonts w:cs="Arial"/>
                <w:sz w:val="20"/>
                <w:szCs w:val="20"/>
              </w:rPr>
            </w:pPr>
            <w:r w:rsidRPr="00786157">
              <w:rPr>
                <w:rFonts w:cs="Arial"/>
                <w:sz w:val="20"/>
                <w:szCs w:val="20"/>
              </w:rPr>
              <w:t xml:space="preserve">Research group </w:t>
            </w:r>
          </w:p>
        </w:tc>
        <w:tc>
          <w:tcPr>
            <w:tcW w:w="5634" w:type="dxa"/>
          </w:tcPr>
          <w:p w14:paraId="1544E6BE" w14:textId="77777777" w:rsidR="007B2069" w:rsidRPr="00786157" w:rsidRDefault="007B2069" w:rsidP="00864864">
            <w:pPr>
              <w:rPr>
                <w:rFonts w:cs="Arial"/>
                <w:sz w:val="20"/>
                <w:szCs w:val="20"/>
              </w:rPr>
            </w:pPr>
            <w:r w:rsidRPr="00786157">
              <w:rPr>
                <w:rFonts w:cs="Arial"/>
                <w:sz w:val="20"/>
                <w:szCs w:val="20"/>
                <w:lang w:val="en-AU"/>
              </w:rPr>
              <w:t>Scion</w:t>
            </w:r>
          </w:p>
        </w:tc>
      </w:tr>
      <w:tr w:rsidR="007B2069" w:rsidRPr="006A0086" w14:paraId="500B048B" w14:textId="77777777" w:rsidTr="00864864">
        <w:tc>
          <w:tcPr>
            <w:tcW w:w="3652" w:type="dxa"/>
          </w:tcPr>
          <w:p w14:paraId="3FDFB98B" w14:textId="77777777" w:rsidR="007B2069" w:rsidRPr="00786157" w:rsidRDefault="007B2069" w:rsidP="00864864">
            <w:pPr>
              <w:rPr>
                <w:rFonts w:cs="Arial"/>
                <w:sz w:val="20"/>
                <w:szCs w:val="20"/>
              </w:rPr>
            </w:pPr>
            <w:r w:rsidRPr="00786157">
              <w:rPr>
                <w:rFonts w:cs="Arial"/>
                <w:sz w:val="20"/>
                <w:szCs w:val="20"/>
              </w:rPr>
              <w:t xml:space="preserve">Consumers, NGOs etc </w:t>
            </w:r>
          </w:p>
        </w:tc>
        <w:tc>
          <w:tcPr>
            <w:tcW w:w="5634" w:type="dxa"/>
          </w:tcPr>
          <w:p w14:paraId="04DDE79C" w14:textId="77777777" w:rsidR="007B2069" w:rsidRPr="00786157" w:rsidRDefault="007B2069" w:rsidP="00864864">
            <w:pPr>
              <w:rPr>
                <w:rFonts w:cs="Arial"/>
                <w:sz w:val="20"/>
                <w:szCs w:val="20"/>
              </w:rPr>
            </w:pPr>
            <w:r w:rsidRPr="00786157">
              <w:rPr>
                <w:rFonts w:cs="Arial"/>
                <w:sz w:val="20"/>
                <w:szCs w:val="20"/>
                <w:lang w:val="en-AU"/>
              </w:rPr>
              <w:t>no submissions received</w:t>
            </w:r>
          </w:p>
        </w:tc>
      </w:tr>
    </w:tbl>
    <w:p w14:paraId="7F8275F0" w14:textId="44A067D4" w:rsidR="007B2069" w:rsidRPr="006A6C07" w:rsidRDefault="007B2069" w:rsidP="006A6C07">
      <w:pPr>
        <w:pStyle w:val="Heading3"/>
      </w:pPr>
      <w:r w:rsidRPr="006A0086">
        <w:t>Key messages were as follows:</w:t>
      </w:r>
    </w:p>
    <w:p w14:paraId="4AF3794A" w14:textId="4923D361" w:rsidR="007B2069" w:rsidRPr="00680E45" w:rsidRDefault="007B2069" w:rsidP="00AB7736">
      <w:pPr>
        <w:pStyle w:val="FSBullet1"/>
        <w:rPr>
          <w:lang w:eastAsia="en-GB"/>
        </w:rPr>
      </w:pPr>
      <w:r w:rsidRPr="00680E45">
        <w:rPr>
          <w:lang w:eastAsia="en-GB"/>
        </w:rPr>
        <w:t>FSANZ</w:t>
      </w:r>
      <w:r>
        <w:rPr>
          <w:lang w:eastAsia="en-GB"/>
        </w:rPr>
        <w:t>’s</w:t>
      </w:r>
      <w:r w:rsidR="00F36281">
        <w:rPr>
          <w:lang w:eastAsia="en-GB"/>
        </w:rPr>
        <w:t xml:space="preserve"> </w:t>
      </w:r>
      <w:r w:rsidRPr="00680E45">
        <w:rPr>
          <w:lang w:eastAsia="en-GB"/>
        </w:rPr>
        <w:t xml:space="preserve">approach and stakeholder liaison work </w:t>
      </w:r>
      <w:r>
        <w:rPr>
          <w:lang w:eastAsia="en-GB"/>
        </w:rPr>
        <w:t>was well-received by submitters.</w:t>
      </w:r>
    </w:p>
    <w:p w14:paraId="60CBBDF2" w14:textId="77777777" w:rsidR="007B2069" w:rsidRPr="00680E45" w:rsidRDefault="007B2069" w:rsidP="00AB7736">
      <w:pPr>
        <w:pStyle w:val="FSBullet1"/>
        <w:rPr>
          <w:lang w:eastAsia="en-GB"/>
        </w:rPr>
      </w:pPr>
      <w:r w:rsidRPr="00680E45">
        <w:rPr>
          <w:lang w:eastAsia="en-GB"/>
        </w:rPr>
        <w:t>Risk profiling via the Threshold of Toxicological Concern (TTC) eliminated many previous concerns for packaging chemicals</w:t>
      </w:r>
      <w:r>
        <w:rPr>
          <w:lang w:eastAsia="en-GB"/>
        </w:rPr>
        <w:t>.</w:t>
      </w:r>
    </w:p>
    <w:p w14:paraId="0342E1E2" w14:textId="212A34E8" w:rsidR="007B2069" w:rsidRPr="00680E45" w:rsidRDefault="007B2069" w:rsidP="00AB7736">
      <w:pPr>
        <w:pStyle w:val="FSBullet1"/>
        <w:rPr>
          <w:lang w:eastAsia="en-GB"/>
        </w:rPr>
      </w:pPr>
      <w:r w:rsidRPr="00680E45">
        <w:rPr>
          <w:lang w:eastAsia="en-GB"/>
        </w:rPr>
        <w:t xml:space="preserve">Agreement that </w:t>
      </w:r>
      <w:r>
        <w:rPr>
          <w:lang w:eastAsia="en-GB"/>
        </w:rPr>
        <w:t xml:space="preserve">development of </w:t>
      </w:r>
      <w:r w:rsidR="00E167E9">
        <w:rPr>
          <w:lang w:eastAsia="en-GB"/>
        </w:rPr>
        <w:t>maximum limits (</w:t>
      </w:r>
      <w:r w:rsidRPr="00680E45">
        <w:rPr>
          <w:lang w:eastAsia="en-GB"/>
        </w:rPr>
        <w:t>ML</w:t>
      </w:r>
      <w:r w:rsidR="00CF6CD3">
        <w:rPr>
          <w:lang w:eastAsia="en-GB"/>
        </w:rPr>
        <w:t>s</w:t>
      </w:r>
      <w:r w:rsidR="00E167E9">
        <w:rPr>
          <w:lang w:eastAsia="en-GB"/>
        </w:rPr>
        <w:t>)</w:t>
      </w:r>
      <w:r w:rsidRPr="00680E45">
        <w:rPr>
          <w:lang w:eastAsia="en-GB"/>
        </w:rPr>
        <w:t xml:space="preserve"> in the Code </w:t>
      </w:r>
      <w:r>
        <w:rPr>
          <w:lang w:eastAsia="en-GB"/>
        </w:rPr>
        <w:t xml:space="preserve">for specific </w:t>
      </w:r>
      <w:r w:rsidRPr="00680E45">
        <w:rPr>
          <w:lang w:eastAsia="en-GB"/>
        </w:rPr>
        <w:t>phthalate chemicals</w:t>
      </w:r>
      <w:r>
        <w:rPr>
          <w:lang w:eastAsia="en-GB"/>
        </w:rPr>
        <w:t xml:space="preserve"> is a </w:t>
      </w:r>
      <w:r w:rsidR="00D17493">
        <w:rPr>
          <w:lang w:eastAsia="en-GB"/>
        </w:rPr>
        <w:t xml:space="preserve">possible </w:t>
      </w:r>
      <w:r>
        <w:rPr>
          <w:lang w:eastAsia="en-GB"/>
        </w:rPr>
        <w:t>risk management option</w:t>
      </w:r>
      <w:r w:rsidRPr="00680E45">
        <w:rPr>
          <w:lang w:eastAsia="en-GB"/>
        </w:rPr>
        <w:t xml:space="preserve"> although it was noted by </w:t>
      </w:r>
      <w:r w:rsidR="00D17493">
        <w:rPr>
          <w:lang w:eastAsia="en-GB"/>
        </w:rPr>
        <w:t>one</w:t>
      </w:r>
      <w:r w:rsidR="00D17493" w:rsidRPr="00680E45">
        <w:rPr>
          <w:lang w:eastAsia="en-GB"/>
        </w:rPr>
        <w:t xml:space="preserve"> </w:t>
      </w:r>
      <w:r w:rsidRPr="00680E45">
        <w:rPr>
          <w:lang w:eastAsia="en-GB"/>
        </w:rPr>
        <w:t xml:space="preserve">submitter that the dietary exposure estimates in the ATDS were highly conservative and FSANZ should further characterise the risks. </w:t>
      </w:r>
    </w:p>
    <w:p w14:paraId="37E03CF8" w14:textId="76C31726" w:rsidR="007B2069" w:rsidRPr="00680E45" w:rsidRDefault="007B2069" w:rsidP="00AB7736">
      <w:pPr>
        <w:pStyle w:val="FSBullet1"/>
        <w:rPr>
          <w:lang w:eastAsia="en-GB"/>
        </w:rPr>
      </w:pPr>
      <w:r>
        <w:rPr>
          <w:lang w:eastAsia="en-GB"/>
        </w:rPr>
        <w:lastRenderedPageBreak/>
        <w:t xml:space="preserve">Some stakeholders expressed </w:t>
      </w:r>
      <w:r w:rsidR="00CF6CD3">
        <w:rPr>
          <w:lang w:eastAsia="en-GB"/>
        </w:rPr>
        <w:t xml:space="preserve">the view </w:t>
      </w:r>
      <w:r>
        <w:rPr>
          <w:lang w:eastAsia="en-GB"/>
        </w:rPr>
        <w:t xml:space="preserve">that </w:t>
      </w:r>
      <w:r w:rsidRPr="00680E45">
        <w:rPr>
          <w:lang w:eastAsia="en-GB"/>
        </w:rPr>
        <w:t xml:space="preserve">FSANZ should adopt US/EU regulations into </w:t>
      </w:r>
      <w:r w:rsidR="00CF6CD3">
        <w:rPr>
          <w:lang w:eastAsia="en-GB"/>
        </w:rPr>
        <w:t xml:space="preserve">the </w:t>
      </w:r>
      <w:r w:rsidRPr="00680E45">
        <w:rPr>
          <w:lang w:eastAsia="en-GB"/>
        </w:rPr>
        <w:t xml:space="preserve">Code and no further or additional regulation is required. </w:t>
      </w:r>
    </w:p>
    <w:p w14:paraId="308FD3D5" w14:textId="77777777" w:rsidR="007B2069" w:rsidRPr="00680E45" w:rsidRDefault="007B2069" w:rsidP="00AB7736">
      <w:pPr>
        <w:pStyle w:val="FSBullet1"/>
        <w:rPr>
          <w:lang w:eastAsia="en-GB"/>
        </w:rPr>
      </w:pPr>
      <w:r w:rsidRPr="00680E45">
        <w:rPr>
          <w:lang w:eastAsia="en-GB"/>
        </w:rPr>
        <w:t xml:space="preserve">Any regulations/guidelines should capture imported packaged food products. </w:t>
      </w:r>
    </w:p>
    <w:p w14:paraId="18BE65C7" w14:textId="385C7BDB" w:rsidR="007B2069" w:rsidRPr="00680E45" w:rsidRDefault="007B2069" w:rsidP="00AB7736">
      <w:pPr>
        <w:pStyle w:val="FSBullet1"/>
        <w:rPr>
          <w:lang w:eastAsia="en-GB"/>
        </w:rPr>
      </w:pPr>
      <w:r w:rsidRPr="00680E45">
        <w:rPr>
          <w:lang w:eastAsia="en-GB"/>
        </w:rPr>
        <w:t>Vinyl Council has a new industry Code for food contact film that could be included in any future guideline</w:t>
      </w:r>
      <w:r w:rsidR="00D339F9">
        <w:rPr>
          <w:lang w:eastAsia="en-GB"/>
        </w:rPr>
        <w:t>.</w:t>
      </w:r>
    </w:p>
    <w:p w14:paraId="5B533D23" w14:textId="77777777" w:rsidR="007B2069" w:rsidRPr="00680E45" w:rsidRDefault="007B2069" w:rsidP="00AB7736">
      <w:pPr>
        <w:pStyle w:val="FSBullet1"/>
        <w:rPr>
          <w:lang w:eastAsia="en-GB"/>
        </w:rPr>
      </w:pPr>
      <w:r w:rsidRPr="00C37071">
        <w:t>Perfluoroalkylated (</w:t>
      </w:r>
      <w:r w:rsidRPr="00C37071">
        <w:rPr>
          <w:lang w:eastAsia="en-GB"/>
        </w:rPr>
        <w:t xml:space="preserve">PFAS) chemicals </w:t>
      </w:r>
      <w:r w:rsidRPr="00680E45">
        <w:rPr>
          <w:lang w:eastAsia="en-GB"/>
        </w:rPr>
        <w:t xml:space="preserve">and risk: still needs ongoing monitoring for food packaging as </w:t>
      </w:r>
      <w:r>
        <w:rPr>
          <w:lang w:eastAsia="en-GB"/>
        </w:rPr>
        <w:t>24</w:t>
      </w:r>
      <w:r w:rsidRPr="000B76AA">
        <w:rPr>
          <w:vertAlign w:val="superscript"/>
          <w:lang w:eastAsia="en-GB"/>
        </w:rPr>
        <w:t>th</w:t>
      </w:r>
      <w:r>
        <w:rPr>
          <w:lang w:eastAsia="en-GB"/>
        </w:rPr>
        <w:t xml:space="preserve"> </w:t>
      </w:r>
      <w:r w:rsidRPr="00680E45">
        <w:rPr>
          <w:lang w:eastAsia="en-GB"/>
        </w:rPr>
        <w:t>ATDS had limited samples.</w:t>
      </w:r>
    </w:p>
    <w:p w14:paraId="235D4A3F" w14:textId="05791E73" w:rsidR="007B2069" w:rsidRPr="00680E45" w:rsidRDefault="007B2069" w:rsidP="00AB7736">
      <w:pPr>
        <w:pStyle w:val="FSBullet1"/>
        <w:rPr>
          <w:lang w:eastAsia="en-GB"/>
        </w:rPr>
      </w:pPr>
      <w:r w:rsidRPr="00680E45">
        <w:rPr>
          <w:lang w:eastAsia="en-GB"/>
        </w:rPr>
        <w:t>Guidelines would be very valuable, especially for SMEs</w:t>
      </w:r>
      <w:r w:rsidR="009B6F0C">
        <w:rPr>
          <w:lang w:eastAsia="en-GB"/>
        </w:rPr>
        <w:t xml:space="preserve">. </w:t>
      </w:r>
      <w:r w:rsidRPr="00680E45">
        <w:rPr>
          <w:lang w:eastAsia="en-GB"/>
        </w:rPr>
        <w:t xml:space="preserve"> </w:t>
      </w:r>
    </w:p>
    <w:p w14:paraId="4CF62741" w14:textId="23690D67" w:rsidR="007B2069" w:rsidRPr="00680E45" w:rsidRDefault="007B2069" w:rsidP="00AB7736">
      <w:pPr>
        <w:pStyle w:val="FSBullet1"/>
        <w:rPr>
          <w:lang w:eastAsia="en-GB"/>
        </w:rPr>
      </w:pPr>
      <w:r w:rsidRPr="00680E45">
        <w:rPr>
          <w:lang w:eastAsia="en-GB"/>
        </w:rPr>
        <w:t xml:space="preserve">A definition </w:t>
      </w:r>
      <w:r w:rsidR="009B6F0C">
        <w:rPr>
          <w:lang w:eastAsia="en-GB"/>
        </w:rPr>
        <w:t xml:space="preserve">of ‘food grade’ would be useful. </w:t>
      </w:r>
    </w:p>
    <w:p w14:paraId="1A4CD6B0" w14:textId="412262B1" w:rsidR="007B2069" w:rsidRPr="00680E45" w:rsidRDefault="007B2069" w:rsidP="00AB7736">
      <w:pPr>
        <w:pStyle w:val="FSBullet1"/>
        <w:rPr>
          <w:lang w:eastAsia="en-GB"/>
        </w:rPr>
      </w:pPr>
      <w:r w:rsidRPr="00680E45">
        <w:rPr>
          <w:lang w:eastAsia="en-GB"/>
        </w:rPr>
        <w:t xml:space="preserve">There was </w:t>
      </w:r>
      <w:r w:rsidR="00323BE0">
        <w:rPr>
          <w:lang w:eastAsia="en-GB"/>
        </w:rPr>
        <w:t xml:space="preserve">limited </w:t>
      </w:r>
      <w:r w:rsidRPr="00680E45">
        <w:rPr>
          <w:lang w:eastAsia="en-GB"/>
        </w:rPr>
        <w:t xml:space="preserve">support from industry for any Code/Food </w:t>
      </w:r>
      <w:r>
        <w:rPr>
          <w:lang w:eastAsia="en-GB"/>
        </w:rPr>
        <w:t>A</w:t>
      </w:r>
      <w:r w:rsidRPr="00680E45">
        <w:rPr>
          <w:lang w:eastAsia="en-GB"/>
        </w:rPr>
        <w:t xml:space="preserve">ct </w:t>
      </w:r>
      <w:r w:rsidR="0092714B" w:rsidRPr="00680E45">
        <w:rPr>
          <w:lang w:eastAsia="en-GB"/>
        </w:rPr>
        <w:t>changes;</w:t>
      </w:r>
      <w:r w:rsidRPr="00680E45">
        <w:rPr>
          <w:lang w:eastAsia="en-GB"/>
        </w:rPr>
        <w:t xml:space="preserve"> due to the length of time it takes for changes to become law. </w:t>
      </w:r>
    </w:p>
    <w:p w14:paraId="10D4CAE6" w14:textId="64CC6F8B" w:rsidR="007B2069" w:rsidRPr="00680E45" w:rsidRDefault="007B2069" w:rsidP="00AB7736">
      <w:pPr>
        <w:pStyle w:val="FSBullet1"/>
        <w:rPr>
          <w:lang w:eastAsia="en-GB"/>
        </w:rPr>
      </w:pPr>
      <w:r w:rsidRPr="00680E45">
        <w:rPr>
          <w:lang w:eastAsia="en-GB"/>
        </w:rPr>
        <w:t xml:space="preserve">General requirements for packaging safety and suitability in the Code </w:t>
      </w:r>
      <w:r w:rsidR="00D17493">
        <w:rPr>
          <w:lang w:eastAsia="en-GB"/>
        </w:rPr>
        <w:t>should be</w:t>
      </w:r>
      <w:r w:rsidRPr="00680E45">
        <w:rPr>
          <w:lang w:eastAsia="en-GB"/>
        </w:rPr>
        <w:t xml:space="preserve"> consistent with the clauses in the various Food Acts.</w:t>
      </w:r>
    </w:p>
    <w:p w14:paraId="4E788C6E" w14:textId="77777777" w:rsidR="007B2069" w:rsidRPr="00680E45" w:rsidRDefault="007B2069" w:rsidP="00AB7736">
      <w:pPr>
        <w:pStyle w:val="FSBullet1"/>
        <w:rPr>
          <w:lang w:eastAsia="en-GB"/>
        </w:rPr>
      </w:pPr>
      <w:r w:rsidRPr="00680E45">
        <w:rPr>
          <w:lang w:eastAsia="en-GB"/>
        </w:rPr>
        <w:t>Changes to</w:t>
      </w:r>
      <w:r>
        <w:rPr>
          <w:lang w:eastAsia="en-GB"/>
        </w:rPr>
        <w:t xml:space="preserve"> F</w:t>
      </w:r>
      <w:r w:rsidRPr="00680E45">
        <w:rPr>
          <w:lang w:eastAsia="en-GB"/>
        </w:rPr>
        <w:t xml:space="preserve">ood </w:t>
      </w:r>
      <w:r>
        <w:rPr>
          <w:lang w:eastAsia="en-GB"/>
        </w:rPr>
        <w:t>A</w:t>
      </w:r>
      <w:r w:rsidRPr="00680E45">
        <w:rPr>
          <w:lang w:eastAsia="en-GB"/>
        </w:rPr>
        <w:t xml:space="preserve">cts </w:t>
      </w:r>
      <w:r>
        <w:rPr>
          <w:lang w:eastAsia="en-GB"/>
        </w:rPr>
        <w:t>c</w:t>
      </w:r>
      <w:r w:rsidRPr="00680E45">
        <w:rPr>
          <w:lang w:eastAsia="en-GB"/>
        </w:rPr>
        <w:t xml:space="preserve">ould be made to </w:t>
      </w:r>
      <w:r>
        <w:rPr>
          <w:lang w:eastAsia="en-GB"/>
        </w:rPr>
        <w:t>clarify that</w:t>
      </w:r>
      <w:r w:rsidRPr="00680E45">
        <w:rPr>
          <w:lang w:eastAsia="en-GB"/>
        </w:rPr>
        <w:t xml:space="preserve"> contamination from packaging </w:t>
      </w:r>
      <w:r>
        <w:rPr>
          <w:lang w:eastAsia="en-GB"/>
        </w:rPr>
        <w:t xml:space="preserve">may </w:t>
      </w:r>
      <w:r w:rsidRPr="00680E45">
        <w:rPr>
          <w:lang w:eastAsia="en-GB"/>
        </w:rPr>
        <w:t>ma</w:t>
      </w:r>
      <w:r>
        <w:rPr>
          <w:lang w:eastAsia="en-GB"/>
        </w:rPr>
        <w:t>k</w:t>
      </w:r>
      <w:r w:rsidRPr="00680E45">
        <w:rPr>
          <w:lang w:eastAsia="en-GB"/>
        </w:rPr>
        <w:t>e food unsuitable.</w:t>
      </w:r>
    </w:p>
    <w:p w14:paraId="01B03E9E" w14:textId="1C48937E" w:rsidR="007B2069" w:rsidRPr="00680E45" w:rsidRDefault="007B2069" w:rsidP="00AB7736">
      <w:pPr>
        <w:pStyle w:val="FSBullet1"/>
        <w:rPr>
          <w:lang w:eastAsia="en-GB"/>
        </w:rPr>
      </w:pPr>
      <w:r w:rsidRPr="00680E45">
        <w:rPr>
          <w:lang w:eastAsia="en-GB"/>
        </w:rPr>
        <w:t xml:space="preserve">Remove requirement </w:t>
      </w:r>
      <w:r w:rsidR="009C7635" w:rsidRPr="00680E45">
        <w:rPr>
          <w:lang w:eastAsia="en-GB"/>
        </w:rPr>
        <w:t xml:space="preserve">from the Code </w:t>
      </w:r>
      <w:r w:rsidRPr="00680E45">
        <w:rPr>
          <w:lang w:eastAsia="en-GB"/>
        </w:rPr>
        <w:t>relating to packaging and articles (1.1.1-10 clause 11), if taken into the m</w:t>
      </w:r>
      <w:r w:rsidR="009C7635">
        <w:rPr>
          <w:lang w:eastAsia="en-GB"/>
        </w:rPr>
        <w:t xml:space="preserve">outh, </w:t>
      </w:r>
      <w:r w:rsidRPr="00680E45">
        <w:rPr>
          <w:lang w:eastAsia="en-GB"/>
        </w:rPr>
        <w:t xml:space="preserve">as it is more appropriate that this </w:t>
      </w:r>
      <w:r>
        <w:rPr>
          <w:lang w:eastAsia="en-GB"/>
        </w:rPr>
        <w:t>requirement is</w:t>
      </w:r>
      <w:r w:rsidRPr="00680E45">
        <w:rPr>
          <w:lang w:eastAsia="en-GB"/>
        </w:rPr>
        <w:t xml:space="preserve"> under the Australian Consumer Law.</w:t>
      </w:r>
    </w:p>
    <w:p w14:paraId="61770647" w14:textId="34BDDEF8" w:rsidR="007B2069" w:rsidRPr="000B76AA" w:rsidRDefault="007B2069" w:rsidP="00AB7736">
      <w:pPr>
        <w:pStyle w:val="FSBullet1"/>
        <w:rPr>
          <w:lang w:bidi="en-US"/>
        </w:rPr>
      </w:pPr>
      <w:r w:rsidRPr="00680E45">
        <w:rPr>
          <w:lang w:eastAsia="en-GB"/>
        </w:rPr>
        <w:t>General agreement with FSANZ</w:t>
      </w:r>
      <w:r w:rsidR="00D17493">
        <w:rPr>
          <w:lang w:eastAsia="en-GB"/>
        </w:rPr>
        <w:t>’s</w:t>
      </w:r>
      <w:r w:rsidRPr="00680E45">
        <w:rPr>
          <w:lang w:eastAsia="en-GB"/>
        </w:rPr>
        <w:t xml:space="preserve"> analysis of control measures and market information.</w:t>
      </w:r>
      <w:r w:rsidR="006E2B8D" w:rsidRPr="000B76AA">
        <w:rPr>
          <w:lang w:bidi="en-US"/>
        </w:rPr>
        <w:t xml:space="preserve"> </w:t>
      </w:r>
      <w:r w:rsidRPr="000B76AA">
        <w:rPr>
          <w:lang w:bidi="en-US"/>
        </w:rPr>
        <w:t xml:space="preserve">A summary of submitter’s responses in regard to the proposed risk management options and framework is as follows: </w:t>
      </w:r>
    </w:p>
    <w:p w14:paraId="2E38C675" w14:textId="77777777" w:rsidR="007B2069" w:rsidRDefault="007B2069" w:rsidP="007B2069">
      <w:pPr>
        <w:widowControl w:val="0"/>
        <w:rPr>
          <w:rFonts w:eastAsia="Times New Roman" w:cs="Arial"/>
          <w:b/>
          <w:sz w:val="20"/>
          <w:szCs w:val="20"/>
          <w:lang w:bidi="en-US"/>
        </w:rPr>
      </w:pPr>
    </w:p>
    <w:tbl>
      <w:tblPr>
        <w:tblStyle w:val="TableGrid"/>
        <w:tblW w:w="9180" w:type="dxa"/>
        <w:tblLook w:val="04A0" w:firstRow="1" w:lastRow="0" w:firstColumn="1" w:lastColumn="0" w:noHBand="0" w:noVBand="1"/>
        <w:tblCaption w:val="Comments on FSANZ's risk management options "/>
        <w:tblDescription w:val="This table is a summary of stakeholder views on the regulatory and non-regulatory options that were identified in the 2nd round of public consultation. "/>
      </w:tblPr>
      <w:tblGrid>
        <w:gridCol w:w="3652"/>
        <w:gridCol w:w="5528"/>
      </w:tblGrid>
      <w:tr w:rsidR="007B2069" w14:paraId="2E9D4E5B" w14:textId="77777777" w:rsidTr="00711DAB">
        <w:trPr>
          <w:cantSplit/>
          <w:tblHeader/>
        </w:trPr>
        <w:tc>
          <w:tcPr>
            <w:tcW w:w="3652" w:type="dxa"/>
          </w:tcPr>
          <w:p w14:paraId="53224939" w14:textId="77777777" w:rsidR="007B2069" w:rsidRPr="00121E71" w:rsidRDefault="007B2069" w:rsidP="001763BC">
            <w:pPr>
              <w:pStyle w:val="Heading3"/>
            </w:pPr>
            <w:r w:rsidRPr="00121E71">
              <w:t xml:space="preserve">Option </w:t>
            </w:r>
          </w:p>
        </w:tc>
        <w:tc>
          <w:tcPr>
            <w:tcW w:w="5528" w:type="dxa"/>
          </w:tcPr>
          <w:p w14:paraId="655FFDED" w14:textId="77777777" w:rsidR="007B2069" w:rsidRPr="00121E71" w:rsidRDefault="007B2069" w:rsidP="001763BC">
            <w:pPr>
              <w:pStyle w:val="Heading3"/>
            </w:pPr>
            <w:r w:rsidRPr="00121E71">
              <w:t xml:space="preserve">Comments </w:t>
            </w:r>
          </w:p>
        </w:tc>
      </w:tr>
      <w:tr w:rsidR="007B2069" w14:paraId="5C79122A" w14:textId="77777777" w:rsidTr="00121E71">
        <w:tc>
          <w:tcPr>
            <w:tcW w:w="3652" w:type="dxa"/>
          </w:tcPr>
          <w:p w14:paraId="63D3CA0E" w14:textId="77777777" w:rsidR="007B2069" w:rsidRPr="00121E71" w:rsidRDefault="007B2069" w:rsidP="00864864">
            <w:pPr>
              <w:widowControl w:val="0"/>
              <w:rPr>
                <w:rFonts w:eastAsia="Times New Roman" w:cs="Arial"/>
                <w:sz w:val="18"/>
                <w:szCs w:val="18"/>
                <w:lang w:bidi="en-US"/>
              </w:rPr>
            </w:pPr>
            <w:r w:rsidRPr="00121E71">
              <w:rPr>
                <w:rFonts w:eastAsia="Times New Roman" w:cs="Arial"/>
                <w:bCs/>
                <w:sz w:val="18"/>
                <w:szCs w:val="18"/>
                <w:lang w:val="en-AU" w:bidi="en-US"/>
              </w:rPr>
              <w:t>1. Status Quo</w:t>
            </w:r>
          </w:p>
          <w:p w14:paraId="4EFB627D" w14:textId="77777777" w:rsidR="007B2069" w:rsidRPr="00121E71" w:rsidRDefault="007B2069" w:rsidP="00864864">
            <w:pPr>
              <w:widowControl w:val="0"/>
              <w:rPr>
                <w:rFonts w:eastAsia="Times New Roman" w:cs="Arial"/>
                <w:sz w:val="18"/>
                <w:szCs w:val="18"/>
                <w:lang w:bidi="en-US"/>
              </w:rPr>
            </w:pPr>
          </w:p>
        </w:tc>
        <w:tc>
          <w:tcPr>
            <w:tcW w:w="5528" w:type="dxa"/>
          </w:tcPr>
          <w:p w14:paraId="1CFE225D" w14:textId="49D3ABF7" w:rsidR="007B2069" w:rsidRPr="00121E71" w:rsidRDefault="007B2069" w:rsidP="00CF6CD3">
            <w:pPr>
              <w:widowControl w:val="0"/>
              <w:rPr>
                <w:rFonts w:eastAsia="Times New Roman" w:cs="Arial"/>
                <w:sz w:val="18"/>
                <w:szCs w:val="18"/>
                <w:lang w:bidi="en-US"/>
              </w:rPr>
            </w:pPr>
            <w:r w:rsidRPr="00121E71">
              <w:rPr>
                <w:rFonts w:eastAsia="Times New Roman" w:cs="Arial"/>
                <w:bCs/>
                <w:sz w:val="18"/>
                <w:szCs w:val="18"/>
                <w:lang w:val="en-AU" w:bidi="en-US"/>
              </w:rPr>
              <w:t xml:space="preserve">Isolated support </w:t>
            </w:r>
            <w:r w:rsidRPr="00121E71">
              <w:rPr>
                <w:rFonts w:eastAsia="Times New Roman" w:cs="Arial"/>
                <w:sz w:val="18"/>
                <w:szCs w:val="18"/>
                <w:lang w:val="en-AU" w:bidi="en-US"/>
              </w:rPr>
              <w:t>– not a viable option to resolving issues.</w:t>
            </w:r>
          </w:p>
        </w:tc>
      </w:tr>
      <w:tr w:rsidR="007B2069" w14:paraId="182BBF59" w14:textId="77777777" w:rsidTr="00121E71">
        <w:tc>
          <w:tcPr>
            <w:tcW w:w="3652" w:type="dxa"/>
          </w:tcPr>
          <w:p w14:paraId="2BBAC0EE" w14:textId="77777777" w:rsidR="007B2069" w:rsidRPr="00121E71" w:rsidRDefault="007B2069" w:rsidP="00864864">
            <w:pPr>
              <w:widowControl w:val="0"/>
              <w:rPr>
                <w:rFonts w:eastAsia="Times New Roman" w:cs="Arial"/>
                <w:sz w:val="18"/>
                <w:szCs w:val="18"/>
                <w:lang w:bidi="en-US"/>
              </w:rPr>
            </w:pPr>
            <w:r w:rsidRPr="00121E71">
              <w:rPr>
                <w:rFonts w:eastAsia="Times New Roman" w:cs="Arial"/>
                <w:bCs/>
                <w:sz w:val="18"/>
                <w:szCs w:val="18"/>
                <w:lang w:val="en-AU" w:bidi="en-US"/>
              </w:rPr>
              <w:t>2. Prescriptive</w:t>
            </w:r>
          </w:p>
          <w:p w14:paraId="368844FA" w14:textId="77777777" w:rsidR="007B2069" w:rsidRPr="00121E71" w:rsidRDefault="007B2069" w:rsidP="00864864">
            <w:pPr>
              <w:widowControl w:val="0"/>
              <w:rPr>
                <w:rFonts w:eastAsia="Times New Roman" w:cs="Arial"/>
                <w:sz w:val="18"/>
                <w:szCs w:val="18"/>
                <w:lang w:bidi="en-US"/>
              </w:rPr>
            </w:pPr>
          </w:p>
        </w:tc>
        <w:tc>
          <w:tcPr>
            <w:tcW w:w="5528" w:type="dxa"/>
          </w:tcPr>
          <w:p w14:paraId="24CAEE7C" w14:textId="77777777" w:rsidR="007B2069" w:rsidRPr="00121E71" w:rsidRDefault="007B2069" w:rsidP="00864864">
            <w:pPr>
              <w:widowControl w:val="0"/>
              <w:rPr>
                <w:rFonts w:eastAsia="Times New Roman" w:cs="Arial"/>
                <w:sz w:val="18"/>
                <w:szCs w:val="18"/>
                <w:lang w:bidi="en-US"/>
              </w:rPr>
            </w:pPr>
            <w:r w:rsidRPr="00121E71">
              <w:rPr>
                <w:rFonts w:eastAsia="Times New Roman" w:cs="Arial"/>
                <w:b/>
                <w:bCs/>
                <w:sz w:val="18"/>
                <w:szCs w:val="18"/>
                <w:lang w:val="en-AU" w:bidi="en-US"/>
              </w:rPr>
              <w:t xml:space="preserve">No support </w:t>
            </w:r>
            <w:r w:rsidRPr="00121E71">
              <w:rPr>
                <w:rFonts w:eastAsia="Times New Roman" w:cs="Arial"/>
                <w:sz w:val="18"/>
                <w:szCs w:val="18"/>
                <w:lang w:val="en-AU" w:bidi="en-US"/>
              </w:rPr>
              <w:t xml:space="preserve">– current adoption of EU and US regulations by many acts as a </w:t>
            </w:r>
            <w:r w:rsidRPr="00121E71">
              <w:rPr>
                <w:rFonts w:eastAsia="Times New Roman" w:cs="Arial"/>
                <w:i/>
                <w:iCs/>
                <w:sz w:val="18"/>
                <w:szCs w:val="18"/>
                <w:lang w:val="en-AU" w:bidi="en-US"/>
              </w:rPr>
              <w:t>de facto</w:t>
            </w:r>
            <w:r w:rsidRPr="00121E71">
              <w:rPr>
                <w:rFonts w:eastAsia="Times New Roman" w:cs="Arial"/>
                <w:sz w:val="18"/>
                <w:szCs w:val="18"/>
                <w:lang w:val="en-AU" w:bidi="en-US"/>
              </w:rPr>
              <w:t xml:space="preserve"> prescriptive approach. </w:t>
            </w:r>
          </w:p>
        </w:tc>
      </w:tr>
      <w:tr w:rsidR="007B2069" w14:paraId="55D32CB2" w14:textId="77777777" w:rsidTr="00121E71">
        <w:tc>
          <w:tcPr>
            <w:tcW w:w="3652" w:type="dxa"/>
          </w:tcPr>
          <w:p w14:paraId="61588AED" w14:textId="77777777" w:rsidR="007B2069" w:rsidRPr="00121E71" w:rsidRDefault="007B2069" w:rsidP="00864864">
            <w:pPr>
              <w:widowControl w:val="0"/>
              <w:rPr>
                <w:rFonts w:eastAsia="Times New Roman" w:cs="Arial"/>
                <w:sz w:val="18"/>
                <w:szCs w:val="18"/>
                <w:lang w:bidi="en-US"/>
              </w:rPr>
            </w:pPr>
            <w:r w:rsidRPr="00121E71">
              <w:rPr>
                <w:rFonts w:eastAsia="Times New Roman" w:cs="Arial"/>
                <w:bCs/>
                <w:sz w:val="18"/>
                <w:szCs w:val="18"/>
                <w:lang w:val="en-AU" w:bidi="en-US"/>
              </w:rPr>
              <w:t>3. Non-regulatory</w:t>
            </w:r>
            <w:r w:rsidRPr="00121E71">
              <w:rPr>
                <w:rFonts w:eastAsia="Times New Roman" w:cs="Arial"/>
                <w:sz w:val="18"/>
                <w:szCs w:val="18"/>
                <w:lang w:val="en-AU" w:bidi="en-US"/>
              </w:rPr>
              <w:t>:</w:t>
            </w:r>
          </w:p>
          <w:p w14:paraId="1CD69EE2" w14:textId="77777777" w:rsidR="007B2069" w:rsidRPr="00121E71" w:rsidRDefault="007B2069" w:rsidP="00864864">
            <w:pPr>
              <w:widowControl w:val="0"/>
              <w:rPr>
                <w:rFonts w:eastAsia="Times New Roman" w:cs="Arial"/>
                <w:sz w:val="18"/>
                <w:szCs w:val="18"/>
                <w:lang w:val="en-AU" w:bidi="en-US"/>
              </w:rPr>
            </w:pPr>
          </w:p>
          <w:p w14:paraId="709A1672" w14:textId="77777777" w:rsidR="007B2069" w:rsidRPr="00121E71" w:rsidRDefault="007B2069" w:rsidP="00864864">
            <w:pPr>
              <w:widowControl w:val="0"/>
              <w:rPr>
                <w:rFonts w:eastAsia="Times New Roman" w:cs="Arial"/>
                <w:sz w:val="18"/>
                <w:szCs w:val="18"/>
                <w:lang w:val="en-AU" w:bidi="en-US"/>
              </w:rPr>
            </w:pPr>
            <w:r w:rsidRPr="00121E71">
              <w:rPr>
                <w:rFonts w:eastAsia="Times New Roman" w:cs="Arial"/>
                <w:sz w:val="18"/>
                <w:szCs w:val="18"/>
                <w:lang w:val="en-AU" w:bidi="en-US"/>
              </w:rPr>
              <w:t>3a – education/awareness/information</w:t>
            </w:r>
          </w:p>
          <w:p w14:paraId="625C0527" w14:textId="77777777" w:rsidR="007B2069" w:rsidRPr="00121E71" w:rsidRDefault="007B2069" w:rsidP="00864864">
            <w:pPr>
              <w:widowControl w:val="0"/>
              <w:rPr>
                <w:rFonts w:eastAsia="Times New Roman" w:cs="Arial"/>
                <w:sz w:val="18"/>
                <w:szCs w:val="18"/>
                <w:lang w:val="en-AU" w:bidi="en-US"/>
              </w:rPr>
            </w:pPr>
          </w:p>
          <w:p w14:paraId="2067C508" w14:textId="0A6B9599" w:rsidR="007B2069" w:rsidRPr="00121E71" w:rsidRDefault="007B2069" w:rsidP="00864864">
            <w:pPr>
              <w:widowControl w:val="0"/>
              <w:rPr>
                <w:rFonts w:eastAsia="Times New Roman" w:cs="Arial"/>
                <w:sz w:val="18"/>
                <w:szCs w:val="18"/>
                <w:lang w:bidi="en-US"/>
              </w:rPr>
            </w:pPr>
            <w:r w:rsidRPr="00121E71">
              <w:rPr>
                <w:rFonts w:eastAsia="Times New Roman" w:cs="Arial"/>
                <w:sz w:val="18"/>
                <w:szCs w:val="18"/>
                <w:lang w:val="en-AU" w:bidi="en-US"/>
              </w:rPr>
              <w:t xml:space="preserve"> 3b – self-regulation by industry </w:t>
            </w:r>
          </w:p>
          <w:p w14:paraId="47FE968D" w14:textId="77777777" w:rsidR="007B2069" w:rsidRPr="00121E71" w:rsidRDefault="007B2069" w:rsidP="00864864">
            <w:pPr>
              <w:widowControl w:val="0"/>
              <w:rPr>
                <w:rFonts w:eastAsia="Times New Roman" w:cs="Arial"/>
                <w:sz w:val="18"/>
                <w:szCs w:val="18"/>
                <w:lang w:val="en-AU" w:bidi="en-US"/>
              </w:rPr>
            </w:pPr>
            <w:r w:rsidRPr="00121E71">
              <w:rPr>
                <w:rFonts w:eastAsia="Times New Roman" w:cs="Arial"/>
                <w:sz w:val="18"/>
                <w:szCs w:val="18"/>
                <w:lang w:val="en-AU" w:bidi="en-US"/>
              </w:rPr>
              <w:t>standards or CoPs</w:t>
            </w:r>
          </w:p>
          <w:p w14:paraId="0CE2867A" w14:textId="77777777" w:rsidR="007B2069" w:rsidRPr="00121E71" w:rsidRDefault="007B2069" w:rsidP="00864864">
            <w:pPr>
              <w:widowControl w:val="0"/>
              <w:rPr>
                <w:rFonts w:eastAsia="Times New Roman" w:cs="Arial"/>
                <w:sz w:val="18"/>
                <w:szCs w:val="18"/>
                <w:lang w:bidi="en-US"/>
              </w:rPr>
            </w:pPr>
          </w:p>
          <w:p w14:paraId="694DB555" w14:textId="77777777" w:rsidR="007B2069" w:rsidRPr="00121E71" w:rsidRDefault="007B2069" w:rsidP="00864864">
            <w:pPr>
              <w:widowControl w:val="0"/>
              <w:rPr>
                <w:rFonts w:eastAsia="Times New Roman" w:cs="Arial"/>
                <w:sz w:val="18"/>
                <w:szCs w:val="18"/>
                <w:lang w:bidi="en-US"/>
              </w:rPr>
            </w:pPr>
          </w:p>
          <w:p w14:paraId="653274DD" w14:textId="77777777" w:rsidR="007B2069" w:rsidRPr="00121E71" w:rsidRDefault="007B2069" w:rsidP="00864864">
            <w:pPr>
              <w:widowControl w:val="0"/>
              <w:rPr>
                <w:rFonts w:eastAsia="Times New Roman" w:cs="Arial"/>
                <w:sz w:val="18"/>
                <w:szCs w:val="18"/>
                <w:lang w:bidi="en-US"/>
              </w:rPr>
            </w:pPr>
            <w:r w:rsidRPr="00121E71">
              <w:rPr>
                <w:rFonts w:eastAsia="Times New Roman" w:cs="Arial"/>
                <w:sz w:val="18"/>
                <w:szCs w:val="18"/>
                <w:lang w:val="en-AU" w:bidi="en-US"/>
              </w:rPr>
              <w:t>3c – co-regulation</w:t>
            </w:r>
          </w:p>
        </w:tc>
        <w:tc>
          <w:tcPr>
            <w:tcW w:w="5528" w:type="dxa"/>
          </w:tcPr>
          <w:p w14:paraId="5BBA2D35" w14:textId="77777777" w:rsidR="007B2069" w:rsidRPr="00121E71" w:rsidRDefault="007B2069" w:rsidP="00864864">
            <w:pPr>
              <w:widowControl w:val="0"/>
              <w:rPr>
                <w:rFonts w:eastAsia="Times New Roman" w:cs="Arial"/>
                <w:b/>
                <w:bCs/>
                <w:sz w:val="18"/>
                <w:szCs w:val="18"/>
                <w:lang w:val="en-AU" w:bidi="en-US"/>
              </w:rPr>
            </w:pPr>
          </w:p>
          <w:p w14:paraId="10652BD0" w14:textId="77777777" w:rsidR="007B2069" w:rsidRPr="00121E71" w:rsidRDefault="007B2069" w:rsidP="00864864">
            <w:pPr>
              <w:widowControl w:val="0"/>
              <w:rPr>
                <w:rFonts w:eastAsia="Times New Roman" w:cs="Arial"/>
                <w:b/>
                <w:bCs/>
                <w:sz w:val="18"/>
                <w:szCs w:val="18"/>
                <w:lang w:val="en-AU" w:bidi="en-US"/>
              </w:rPr>
            </w:pPr>
          </w:p>
          <w:p w14:paraId="144E9113" w14:textId="77777777" w:rsidR="007B2069" w:rsidRPr="00121E71" w:rsidRDefault="007B2069" w:rsidP="00864864">
            <w:pPr>
              <w:widowControl w:val="0"/>
              <w:rPr>
                <w:rFonts w:eastAsia="Times New Roman" w:cs="Arial"/>
                <w:sz w:val="18"/>
                <w:szCs w:val="18"/>
                <w:lang w:val="en-AU" w:bidi="en-US"/>
              </w:rPr>
            </w:pPr>
            <w:r w:rsidRPr="00121E71">
              <w:rPr>
                <w:rFonts w:eastAsia="Times New Roman" w:cs="Arial"/>
                <w:b/>
                <w:bCs/>
                <w:sz w:val="18"/>
                <w:szCs w:val="18"/>
                <w:lang w:val="en-AU" w:bidi="en-US"/>
              </w:rPr>
              <w:t xml:space="preserve">Strong support – </w:t>
            </w:r>
            <w:r w:rsidRPr="00121E71">
              <w:rPr>
                <w:rFonts w:eastAsia="Times New Roman" w:cs="Arial"/>
                <w:sz w:val="18"/>
                <w:szCs w:val="18"/>
                <w:lang w:val="en-AU" w:bidi="en-US"/>
              </w:rPr>
              <w:t>need identified for education of some industry members</w:t>
            </w:r>
          </w:p>
          <w:p w14:paraId="5FD5F4F4" w14:textId="77777777" w:rsidR="007B2069" w:rsidRPr="00121E71" w:rsidRDefault="007B2069" w:rsidP="00864864">
            <w:pPr>
              <w:widowControl w:val="0"/>
              <w:rPr>
                <w:rFonts w:eastAsia="Times New Roman" w:cs="Arial"/>
                <w:sz w:val="18"/>
                <w:szCs w:val="18"/>
                <w:lang w:val="en-AU" w:bidi="en-US"/>
              </w:rPr>
            </w:pPr>
            <w:r w:rsidRPr="00121E71">
              <w:rPr>
                <w:rFonts w:eastAsia="Times New Roman" w:cs="Arial"/>
                <w:b/>
                <w:bCs/>
                <w:sz w:val="18"/>
                <w:szCs w:val="18"/>
                <w:lang w:val="en-AU" w:bidi="en-US"/>
              </w:rPr>
              <w:t xml:space="preserve">Some support </w:t>
            </w:r>
            <w:r w:rsidRPr="00121E71">
              <w:rPr>
                <w:rFonts w:eastAsia="Times New Roman" w:cs="Arial"/>
                <w:sz w:val="18"/>
                <w:szCs w:val="18"/>
                <w:lang w:val="en-AU" w:bidi="en-US"/>
              </w:rPr>
              <w:t>– issues with lack of certainty though associated with industry Codes of Practice (CoPs).</w:t>
            </w:r>
          </w:p>
          <w:p w14:paraId="2E23154D" w14:textId="77777777" w:rsidR="007B2069" w:rsidRPr="00121E71" w:rsidRDefault="007B2069" w:rsidP="00864864">
            <w:pPr>
              <w:widowControl w:val="0"/>
              <w:rPr>
                <w:rFonts w:eastAsia="Times New Roman" w:cs="Arial"/>
                <w:sz w:val="18"/>
                <w:szCs w:val="18"/>
                <w:lang w:val="en-AU" w:bidi="en-US"/>
              </w:rPr>
            </w:pPr>
          </w:p>
          <w:p w14:paraId="12F4EA97" w14:textId="77777777" w:rsidR="007B2069" w:rsidRPr="00121E71" w:rsidRDefault="007B2069" w:rsidP="00864864">
            <w:pPr>
              <w:widowControl w:val="0"/>
              <w:rPr>
                <w:rFonts w:eastAsia="Times New Roman" w:cs="Arial"/>
                <w:sz w:val="18"/>
                <w:szCs w:val="18"/>
                <w:lang w:bidi="en-US"/>
              </w:rPr>
            </w:pPr>
          </w:p>
          <w:p w14:paraId="7FAE1E73" w14:textId="0E8C61CB" w:rsidR="007B2069" w:rsidRPr="00121E71" w:rsidRDefault="007B2069" w:rsidP="00864864">
            <w:pPr>
              <w:widowControl w:val="0"/>
              <w:rPr>
                <w:rFonts w:eastAsia="Times New Roman" w:cs="Arial"/>
                <w:sz w:val="18"/>
                <w:szCs w:val="18"/>
                <w:lang w:bidi="en-US"/>
              </w:rPr>
            </w:pPr>
            <w:r w:rsidRPr="00121E71">
              <w:rPr>
                <w:rFonts w:eastAsia="Times New Roman" w:cs="Arial"/>
                <w:b/>
                <w:bCs/>
                <w:sz w:val="18"/>
                <w:szCs w:val="18"/>
                <w:lang w:val="en-AU" w:bidi="en-US"/>
              </w:rPr>
              <w:t xml:space="preserve">Isolated support </w:t>
            </w:r>
            <w:r w:rsidRPr="00121E71">
              <w:rPr>
                <w:rFonts w:eastAsia="Times New Roman" w:cs="Arial"/>
                <w:sz w:val="18"/>
                <w:szCs w:val="18"/>
                <w:lang w:val="en-AU" w:bidi="en-US"/>
              </w:rPr>
              <w:t>– not a recognised approach in NZ</w:t>
            </w:r>
          </w:p>
        </w:tc>
      </w:tr>
      <w:tr w:rsidR="007B2069" w14:paraId="1D175776" w14:textId="77777777" w:rsidTr="00121E71">
        <w:tc>
          <w:tcPr>
            <w:tcW w:w="3652" w:type="dxa"/>
          </w:tcPr>
          <w:p w14:paraId="2166795D" w14:textId="77777777" w:rsidR="007B2069" w:rsidRPr="00121E71" w:rsidRDefault="007B2069" w:rsidP="00864864">
            <w:pPr>
              <w:widowControl w:val="0"/>
              <w:rPr>
                <w:rFonts w:eastAsia="Times New Roman" w:cs="Arial"/>
                <w:sz w:val="18"/>
                <w:szCs w:val="18"/>
                <w:lang w:bidi="en-US"/>
              </w:rPr>
            </w:pPr>
            <w:r w:rsidRPr="00121E71">
              <w:rPr>
                <w:rFonts w:eastAsia="Times New Roman" w:cs="Arial"/>
                <w:bCs/>
                <w:sz w:val="18"/>
                <w:szCs w:val="18"/>
                <w:lang w:val="en-AU" w:bidi="en-US"/>
              </w:rPr>
              <w:t xml:space="preserve">4. Graduated </w:t>
            </w:r>
          </w:p>
          <w:p w14:paraId="734AB04F" w14:textId="77777777" w:rsidR="007B2069" w:rsidRPr="00121E71" w:rsidRDefault="007B2069" w:rsidP="00864864">
            <w:pPr>
              <w:widowControl w:val="0"/>
              <w:rPr>
                <w:rFonts w:eastAsia="Times New Roman" w:cs="Arial"/>
                <w:sz w:val="18"/>
                <w:szCs w:val="18"/>
                <w:lang w:bidi="en-US"/>
              </w:rPr>
            </w:pPr>
          </w:p>
        </w:tc>
        <w:tc>
          <w:tcPr>
            <w:tcW w:w="5528" w:type="dxa"/>
          </w:tcPr>
          <w:p w14:paraId="135ACA80" w14:textId="77777777" w:rsidR="007B2069" w:rsidRPr="00121E71" w:rsidRDefault="007B2069" w:rsidP="00864864">
            <w:pPr>
              <w:widowControl w:val="0"/>
              <w:rPr>
                <w:rFonts w:eastAsia="Times New Roman" w:cs="Arial"/>
                <w:sz w:val="18"/>
                <w:szCs w:val="18"/>
                <w:lang w:bidi="en-US"/>
              </w:rPr>
            </w:pPr>
            <w:r w:rsidRPr="00121E71">
              <w:rPr>
                <w:rFonts w:eastAsia="Times New Roman" w:cs="Arial"/>
                <w:b/>
                <w:bCs/>
                <w:sz w:val="18"/>
                <w:szCs w:val="18"/>
                <w:lang w:val="en-AU" w:bidi="en-US"/>
              </w:rPr>
              <w:t xml:space="preserve">Very strong support </w:t>
            </w:r>
            <w:r w:rsidRPr="00121E71">
              <w:rPr>
                <w:rFonts w:eastAsia="Times New Roman" w:cs="Arial"/>
                <w:sz w:val="18"/>
                <w:szCs w:val="18"/>
                <w:lang w:val="en-AU" w:bidi="en-US"/>
              </w:rPr>
              <w:t>- from all submitters (although AFGC noted that this approach is not the most appropriate as it would require more consultation and a RIS).</w:t>
            </w:r>
          </w:p>
        </w:tc>
      </w:tr>
    </w:tbl>
    <w:p w14:paraId="27E736AA" w14:textId="77777777" w:rsidR="001A05E8" w:rsidRDefault="001A05E8" w:rsidP="001A05E8">
      <w:pPr>
        <w:widowControl w:val="0"/>
        <w:rPr>
          <w:rFonts w:eastAsia="Times New Roman" w:cs="Arial"/>
          <w:b/>
          <w:lang w:bidi="en-US"/>
        </w:rPr>
      </w:pPr>
    </w:p>
    <w:p w14:paraId="2814F590" w14:textId="115C03F2" w:rsidR="000D2818" w:rsidRPr="00FD4B46" w:rsidRDefault="000D2818" w:rsidP="001A05E8">
      <w:pPr>
        <w:widowControl w:val="0"/>
        <w:rPr>
          <w:rFonts w:eastAsia="Times New Roman" w:cs="Arial"/>
          <w:lang w:bidi="en-US"/>
        </w:rPr>
      </w:pPr>
      <w:r w:rsidRPr="000D2818">
        <w:rPr>
          <w:rFonts w:eastAsia="Times New Roman" w:cs="Arial"/>
          <w:lang w:bidi="en-US"/>
        </w:rPr>
        <w:t>In regard to the non-regulatory approaches</w:t>
      </w:r>
      <w:r w:rsidR="0043571A">
        <w:rPr>
          <w:rFonts w:eastAsia="Times New Roman" w:cs="Arial"/>
          <w:lang w:bidi="en-US"/>
        </w:rPr>
        <w:t>,</w:t>
      </w:r>
      <w:r w:rsidRPr="000D2818">
        <w:rPr>
          <w:rFonts w:eastAsia="Times New Roman" w:cs="Arial"/>
          <w:lang w:bidi="en-US"/>
        </w:rPr>
        <w:t xml:space="preserve"> the </w:t>
      </w:r>
      <w:r>
        <w:rPr>
          <w:rFonts w:eastAsia="Times New Roman" w:cs="Arial"/>
          <w:lang w:bidi="en-US"/>
        </w:rPr>
        <w:t xml:space="preserve">following is a summary of submissions received: </w:t>
      </w:r>
    </w:p>
    <w:p w14:paraId="5433DF0A" w14:textId="28D45C46" w:rsidR="001A05E8" w:rsidRPr="006A6C07" w:rsidRDefault="001A05E8" w:rsidP="006A6C07">
      <w:pPr>
        <w:pStyle w:val="Heading3"/>
      </w:pPr>
      <w:r w:rsidRPr="006A6C07">
        <w:t xml:space="preserve">Option 3a: Education/awareness for CMPF </w:t>
      </w:r>
    </w:p>
    <w:p w14:paraId="65007259" w14:textId="620056A9" w:rsidR="001A05E8" w:rsidRPr="001A05E8" w:rsidRDefault="001A05E8" w:rsidP="00AB7736">
      <w:pPr>
        <w:pStyle w:val="FSBullet1"/>
        <w:rPr>
          <w:lang w:bidi="en-US"/>
        </w:rPr>
      </w:pPr>
      <w:r w:rsidRPr="001A05E8">
        <w:rPr>
          <w:lang w:bidi="en-US"/>
        </w:rPr>
        <w:t>Support for education/awareness and agree that FSANZ, the AFGC/NZFGC and packaging peak bodies are the most appropriate organisations to undertake a program of education and awareness and application of non-regulatory standards and codes of practice</w:t>
      </w:r>
      <w:r w:rsidR="000D2818">
        <w:rPr>
          <w:lang w:bidi="en-US"/>
        </w:rPr>
        <w:t>.</w:t>
      </w:r>
    </w:p>
    <w:p w14:paraId="5D2FB9DD" w14:textId="77777777" w:rsidR="001A05E8" w:rsidRPr="001A05E8" w:rsidRDefault="001A05E8" w:rsidP="00AB7736">
      <w:pPr>
        <w:pStyle w:val="FSBullet1"/>
        <w:rPr>
          <w:lang w:bidi="en-US"/>
        </w:rPr>
      </w:pPr>
      <w:r w:rsidRPr="001A05E8">
        <w:rPr>
          <w:lang w:bidi="en-US"/>
        </w:rPr>
        <w:t>Suggestion of the establishment of a central co-ordination agency for receiving complaints and enquires relating to CMPF would also be a mechanism for capturing emerging issues.</w:t>
      </w:r>
    </w:p>
    <w:p w14:paraId="0AFA44F4" w14:textId="58F917F6" w:rsidR="001A05E8" w:rsidRPr="001A05E8" w:rsidRDefault="001A05E8" w:rsidP="00AB7736">
      <w:pPr>
        <w:pStyle w:val="FSBullet1"/>
        <w:rPr>
          <w:lang w:bidi="en-US"/>
        </w:rPr>
      </w:pPr>
      <w:r w:rsidRPr="001A05E8">
        <w:rPr>
          <w:lang w:bidi="en-US"/>
        </w:rPr>
        <w:t>Some industry concerns about targeting any education to consumers (used BPA as an example) but jurisdictions disagree (reuse of containers that have been reheated)</w:t>
      </w:r>
      <w:r w:rsidR="00CF6CD3">
        <w:rPr>
          <w:lang w:bidi="en-US"/>
        </w:rPr>
        <w:t>.</w:t>
      </w:r>
      <w:r w:rsidRPr="001A05E8">
        <w:rPr>
          <w:lang w:bidi="en-US"/>
        </w:rPr>
        <w:t xml:space="preserve"> </w:t>
      </w:r>
    </w:p>
    <w:p w14:paraId="3E340D2C" w14:textId="2A544E6A" w:rsidR="001A05E8" w:rsidRPr="001A05E8" w:rsidRDefault="001A05E8" w:rsidP="00AB7736">
      <w:pPr>
        <w:pStyle w:val="FSBullet1"/>
        <w:rPr>
          <w:lang w:bidi="en-US"/>
        </w:rPr>
      </w:pPr>
      <w:r w:rsidRPr="001A05E8">
        <w:rPr>
          <w:lang w:bidi="en-US"/>
        </w:rPr>
        <w:t>No certainty for enforcement</w:t>
      </w:r>
      <w:r w:rsidR="00CF6CD3">
        <w:rPr>
          <w:lang w:bidi="en-US"/>
        </w:rPr>
        <w:t>.</w:t>
      </w:r>
      <w:r w:rsidRPr="001A05E8">
        <w:rPr>
          <w:lang w:bidi="en-US"/>
        </w:rPr>
        <w:t xml:space="preserve"> </w:t>
      </w:r>
    </w:p>
    <w:p w14:paraId="6DEA243A" w14:textId="66152EA0" w:rsidR="001A05E8" w:rsidRPr="001A05E8" w:rsidRDefault="001A05E8" w:rsidP="00AB7736">
      <w:pPr>
        <w:pStyle w:val="FSBullet1"/>
        <w:rPr>
          <w:lang w:bidi="en-US"/>
        </w:rPr>
      </w:pPr>
      <w:r w:rsidRPr="001A05E8">
        <w:rPr>
          <w:lang w:bidi="en-US"/>
        </w:rPr>
        <w:t>Suggestion that this option is a separate project in itself</w:t>
      </w:r>
      <w:r w:rsidR="000D2818">
        <w:rPr>
          <w:lang w:bidi="en-US"/>
        </w:rPr>
        <w:t xml:space="preserve">. </w:t>
      </w:r>
    </w:p>
    <w:p w14:paraId="2E868D2A" w14:textId="12E90850" w:rsidR="001A05E8" w:rsidRPr="00FD4B46" w:rsidRDefault="001A05E8" w:rsidP="00AB7736">
      <w:pPr>
        <w:pStyle w:val="FSBullet1"/>
        <w:rPr>
          <w:lang w:bidi="en-US"/>
        </w:rPr>
      </w:pPr>
      <w:r w:rsidRPr="001A05E8">
        <w:rPr>
          <w:lang w:bidi="en-US"/>
        </w:rPr>
        <w:t>Revise NZ PC CoP to include food safety information on CMPF</w:t>
      </w:r>
      <w:r w:rsidR="000D2818">
        <w:rPr>
          <w:lang w:bidi="en-US"/>
        </w:rPr>
        <w:t xml:space="preserve">. </w:t>
      </w:r>
    </w:p>
    <w:p w14:paraId="5852217D" w14:textId="75F79A52" w:rsidR="001A05E8" w:rsidRPr="00FD4B46" w:rsidRDefault="001A05E8" w:rsidP="00FD4B46">
      <w:pPr>
        <w:pStyle w:val="Heading3"/>
      </w:pPr>
      <w:r w:rsidRPr="001A05E8">
        <w:t>Option 3b: Industry self-regulation by industry standards or codes of practice</w:t>
      </w:r>
    </w:p>
    <w:p w14:paraId="61DB8EA7" w14:textId="543B5A57" w:rsidR="001A05E8" w:rsidRPr="001A05E8" w:rsidRDefault="005D1EE7" w:rsidP="00AB7736">
      <w:pPr>
        <w:pStyle w:val="FSBullet1"/>
        <w:rPr>
          <w:lang w:bidi="en-US"/>
        </w:rPr>
      </w:pPr>
      <w:r>
        <w:rPr>
          <w:lang w:bidi="en-US"/>
        </w:rPr>
        <w:t>S</w:t>
      </w:r>
      <w:r w:rsidR="001A05E8" w:rsidRPr="001A05E8">
        <w:rPr>
          <w:lang w:bidi="en-US"/>
        </w:rPr>
        <w:t>upport for an ISFR guideline</w:t>
      </w:r>
      <w:r w:rsidR="00C27887">
        <w:rPr>
          <w:lang w:bidi="en-US"/>
        </w:rPr>
        <w:t>.</w:t>
      </w:r>
    </w:p>
    <w:p w14:paraId="3EFC7921" w14:textId="73EFED41" w:rsidR="001A05E8" w:rsidRPr="001A05E8" w:rsidRDefault="00C27887" w:rsidP="00AB7736">
      <w:pPr>
        <w:pStyle w:val="FSBullet1"/>
        <w:rPr>
          <w:lang w:bidi="en-US"/>
        </w:rPr>
      </w:pPr>
      <w:r>
        <w:rPr>
          <w:lang w:bidi="en-US"/>
        </w:rPr>
        <w:t>Support for a s</w:t>
      </w:r>
      <w:r w:rsidR="001A05E8" w:rsidRPr="001A05E8">
        <w:rPr>
          <w:lang w:bidi="en-US"/>
        </w:rPr>
        <w:t>ingle comprehensive source for industry</w:t>
      </w:r>
      <w:r>
        <w:rPr>
          <w:lang w:bidi="en-US"/>
        </w:rPr>
        <w:t xml:space="preserve">. </w:t>
      </w:r>
      <w:r w:rsidR="001A05E8" w:rsidRPr="001A05E8">
        <w:rPr>
          <w:lang w:bidi="en-US"/>
        </w:rPr>
        <w:t xml:space="preserve"> </w:t>
      </w:r>
    </w:p>
    <w:p w14:paraId="76BFC65E" w14:textId="19885FF9" w:rsidR="001A05E8" w:rsidRPr="001A05E8" w:rsidRDefault="00766F3D" w:rsidP="00AB7736">
      <w:pPr>
        <w:pStyle w:val="FSBullet1"/>
        <w:rPr>
          <w:lang w:bidi="en-US"/>
        </w:rPr>
      </w:pPr>
      <w:r>
        <w:rPr>
          <w:lang w:bidi="en-US"/>
        </w:rPr>
        <w:t>S</w:t>
      </w:r>
      <w:r w:rsidR="001A05E8" w:rsidRPr="001A05E8">
        <w:rPr>
          <w:lang w:bidi="en-US"/>
        </w:rPr>
        <w:t>ome packaging companies suggested that it is an ineffective approach</w:t>
      </w:r>
      <w:r>
        <w:rPr>
          <w:lang w:bidi="en-US"/>
        </w:rPr>
        <w:t xml:space="preserve">. </w:t>
      </w:r>
      <w:r w:rsidR="001A05E8" w:rsidRPr="001A05E8">
        <w:rPr>
          <w:lang w:bidi="en-US"/>
        </w:rPr>
        <w:t xml:space="preserve"> </w:t>
      </w:r>
    </w:p>
    <w:p w14:paraId="362A0D1E" w14:textId="54B2B377" w:rsidR="001A05E8" w:rsidRPr="001A05E8" w:rsidRDefault="001A05E8" w:rsidP="00AB7736">
      <w:pPr>
        <w:pStyle w:val="FSBullet1"/>
        <w:rPr>
          <w:lang w:bidi="en-US"/>
        </w:rPr>
      </w:pPr>
      <w:r w:rsidRPr="001A05E8">
        <w:rPr>
          <w:lang w:bidi="en-US"/>
        </w:rPr>
        <w:t>Questions on how prescriptive a guideline would be without actually being mandatory</w:t>
      </w:r>
      <w:r w:rsidR="00766F3D">
        <w:rPr>
          <w:lang w:bidi="en-US"/>
        </w:rPr>
        <w:t xml:space="preserve">. </w:t>
      </w:r>
    </w:p>
    <w:p w14:paraId="0646133D" w14:textId="11996561" w:rsidR="001A05E8" w:rsidRPr="001A05E8" w:rsidRDefault="001A05E8" w:rsidP="00AB7736">
      <w:pPr>
        <w:pStyle w:val="FSBullet1"/>
        <w:rPr>
          <w:lang w:bidi="en-US"/>
        </w:rPr>
      </w:pPr>
      <w:r w:rsidRPr="001A05E8">
        <w:rPr>
          <w:lang w:bidi="en-US"/>
        </w:rPr>
        <w:t xml:space="preserve">Existing industry standards should remain separated from any shared (government + industry) guideline because they often address very specific needs </w:t>
      </w:r>
      <w:r w:rsidR="00D17493">
        <w:rPr>
          <w:lang w:bidi="en-US"/>
        </w:rPr>
        <w:t>of</w:t>
      </w:r>
      <w:r w:rsidRPr="001A05E8">
        <w:rPr>
          <w:lang w:bidi="en-US"/>
        </w:rPr>
        <w:t xml:space="preserve"> restricted sectors.</w:t>
      </w:r>
    </w:p>
    <w:p w14:paraId="495CCEBF" w14:textId="6A5AEEC4" w:rsidR="001A05E8" w:rsidRPr="001A05E8" w:rsidRDefault="001A05E8" w:rsidP="00AB7736">
      <w:pPr>
        <w:pStyle w:val="FSBullet1"/>
        <w:rPr>
          <w:lang w:bidi="en-US"/>
        </w:rPr>
      </w:pPr>
      <w:r w:rsidRPr="001A05E8">
        <w:rPr>
          <w:lang w:bidi="en-US"/>
        </w:rPr>
        <w:t>Use N</w:t>
      </w:r>
      <w:r w:rsidR="00227E7F">
        <w:rPr>
          <w:lang w:bidi="en-US"/>
        </w:rPr>
        <w:t xml:space="preserve">ew </w:t>
      </w:r>
      <w:r w:rsidRPr="001A05E8">
        <w:rPr>
          <w:lang w:bidi="en-US"/>
        </w:rPr>
        <w:t>Z</w:t>
      </w:r>
      <w:r w:rsidR="00227E7F">
        <w:rPr>
          <w:lang w:bidi="en-US"/>
        </w:rPr>
        <w:t xml:space="preserve">ealand Packaging Council </w:t>
      </w:r>
      <w:r w:rsidRPr="001A05E8">
        <w:rPr>
          <w:lang w:bidi="en-US"/>
        </w:rPr>
        <w:t>CoP and insert food safety requirements</w:t>
      </w:r>
      <w:r w:rsidR="00766F3D">
        <w:rPr>
          <w:lang w:bidi="en-US"/>
        </w:rPr>
        <w:t xml:space="preserve">. </w:t>
      </w:r>
    </w:p>
    <w:p w14:paraId="08744916" w14:textId="77777777" w:rsidR="001A05E8" w:rsidRPr="001A05E8" w:rsidRDefault="001A05E8" w:rsidP="00AB7736">
      <w:pPr>
        <w:pStyle w:val="FSBullet1"/>
        <w:rPr>
          <w:lang w:bidi="en-US"/>
        </w:rPr>
      </w:pPr>
      <w:r w:rsidRPr="001A05E8">
        <w:rPr>
          <w:lang w:bidi="en-US"/>
        </w:rPr>
        <w:t>Priority target audience: food processors, food service and retail operators to inform them about packaging issues. In particular, how to confirm that the packaging they are purchasing is safe for the products they are producing.</w:t>
      </w:r>
    </w:p>
    <w:p w14:paraId="0D25BA51" w14:textId="21BE639F" w:rsidR="00FB0DDD" w:rsidRDefault="001A05E8" w:rsidP="00AB7736">
      <w:pPr>
        <w:pStyle w:val="FSBullet1"/>
        <w:rPr>
          <w:lang w:bidi="en-US"/>
        </w:rPr>
      </w:pPr>
      <w:r w:rsidRPr="001A05E8">
        <w:rPr>
          <w:lang w:bidi="en-US"/>
        </w:rPr>
        <w:t>Suggestions for the guideline: EU Regulations and FDA regulations as a base; The Swiss Ordinance for Printing Inks and BFR for paper in contact with food.</w:t>
      </w:r>
    </w:p>
    <w:p w14:paraId="27E8C9DA" w14:textId="77777777" w:rsidR="00FB0DDD" w:rsidRPr="00FB0DDD" w:rsidRDefault="00FB0DDD" w:rsidP="00AB7736">
      <w:pPr>
        <w:rPr>
          <w:lang w:bidi="en-US"/>
        </w:rPr>
      </w:pPr>
    </w:p>
    <w:p w14:paraId="69230C86" w14:textId="33024FEB" w:rsidR="00FB0DDD" w:rsidRPr="00FD4B46" w:rsidRDefault="00FB0DDD" w:rsidP="00FB0DDD">
      <w:pPr>
        <w:widowControl w:val="0"/>
        <w:contextualSpacing/>
        <w:rPr>
          <w:rFonts w:eastAsia="Times New Roman" w:cs="Arial"/>
          <w:lang w:bidi="en-US"/>
        </w:rPr>
      </w:pPr>
      <w:r w:rsidRPr="00FB0DDD">
        <w:rPr>
          <w:rFonts w:eastAsia="Times New Roman" w:cs="Arial"/>
          <w:lang w:bidi="en-US"/>
        </w:rPr>
        <w:t>A detailed analysis of the 2nd round of public consultation is in SD 2.</w:t>
      </w:r>
    </w:p>
    <w:sectPr w:rsidR="00FB0DDD" w:rsidRPr="00FD4B46" w:rsidSect="008E2339">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A9F88" w14:textId="77777777" w:rsidR="00864864" w:rsidRDefault="00864864" w:rsidP="008E274C">
      <w:r>
        <w:separator/>
      </w:r>
    </w:p>
  </w:endnote>
  <w:endnote w:type="continuationSeparator" w:id="0">
    <w:p w14:paraId="64FBD251" w14:textId="77777777" w:rsidR="00864864" w:rsidRDefault="00864864" w:rsidP="008E274C">
      <w:r>
        <w:continuationSeparator/>
      </w:r>
    </w:p>
  </w:endnote>
  <w:endnote w:type="continuationNotice" w:id="1">
    <w:p w14:paraId="0AC869E3" w14:textId="77777777" w:rsidR="00864864" w:rsidRDefault="00864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2FE7B" w14:textId="77777777" w:rsidR="00DC323D" w:rsidRDefault="00DC32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104441"/>
      <w:docPartObj>
        <w:docPartGallery w:val="Page Numbers (Bottom of Page)"/>
        <w:docPartUnique/>
      </w:docPartObj>
    </w:sdtPr>
    <w:sdtEndPr>
      <w:rPr>
        <w:noProof/>
      </w:rPr>
    </w:sdtEndPr>
    <w:sdtContent>
      <w:p w14:paraId="790B1349" w14:textId="77777777" w:rsidR="00864864" w:rsidRDefault="00864864">
        <w:pPr>
          <w:pStyle w:val="Footer"/>
          <w:jc w:val="center"/>
        </w:pPr>
        <w:r>
          <w:fldChar w:fldCharType="begin"/>
        </w:r>
        <w:r>
          <w:instrText xml:space="preserve"> PAGE   \* MERGEFORMAT </w:instrText>
        </w:r>
        <w:r>
          <w:fldChar w:fldCharType="separate"/>
        </w:r>
        <w:r w:rsidR="00DC323D">
          <w:rPr>
            <w:noProof/>
          </w:rPr>
          <w:t>1</w:t>
        </w:r>
        <w:r>
          <w:rPr>
            <w:noProof/>
          </w:rPr>
          <w:fldChar w:fldCharType="end"/>
        </w:r>
      </w:p>
    </w:sdtContent>
  </w:sdt>
  <w:p w14:paraId="790B134A" w14:textId="77777777" w:rsidR="00864864" w:rsidRDefault="008648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5F47" w14:textId="77777777" w:rsidR="00DC323D" w:rsidRDefault="00DC3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2131A" w14:textId="77777777" w:rsidR="00864864" w:rsidRDefault="00864864" w:rsidP="008E274C">
      <w:r>
        <w:separator/>
      </w:r>
    </w:p>
  </w:footnote>
  <w:footnote w:type="continuationSeparator" w:id="0">
    <w:p w14:paraId="584A4935" w14:textId="77777777" w:rsidR="00864864" w:rsidRDefault="00864864" w:rsidP="008E274C">
      <w:r>
        <w:continuationSeparator/>
      </w:r>
    </w:p>
  </w:footnote>
  <w:footnote w:type="continuationNotice" w:id="1">
    <w:p w14:paraId="2A0C6DFA" w14:textId="77777777" w:rsidR="00864864" w:rsidRDefault="00864864"/>
  </w:footnote>
  <w:footnote w:id="2">
    <w:p w14:paraId="0DCD8980" w14:textId="49C98C10" w:rsidR="00336806" w:rsidRDefault="00336806">
      <w:pPr>
        <w:pStyle w:val="FootnoteText"/>
      </w:pPr>
      <w:r>
        <w:rPr>
          <w:rStyle w:val="FootnoteReference"/>
        </w:rPr>
        <w:footnoteRef/>
      </w:r>
      <w:r>
        <w:t xml:space="preserve"> </w:t>
      </w:r>
      <w:hyperlink r:id="rId1" w:history="1">
        <w:r w:rsidRPr="00B16594">
          <w:rPr>
            <w:rStyle w:val="Hyperlink"/>
          </w:rPr>
          <w:t>http://www.foodstandards.gov.au/code/proposals/Pages/P1034ChemicalMigrationfromPackagingintoFood.aspx</w:t>
        </w:r>
      </w:hyperlink>
    </w:p>
    <w:p w14:paraId="6E61788A" w14:textId="77777777" w:rsidR="00336806" w:rsidRPr="00336806" w:rsidRDefault="00336806">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C4B55" w14:textId="77777777" w:rsidR="00DC323D" w:rsidRDefault="00DC32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9B1EF" w14:textId="77777777" w:rsidR="0043571A" w:rsidRDefault="004357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2B110" w14:textId="77777777" w:rsidR="00DC323D" w:rsidRDefault="00DC32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3712754"/>
    <w:multiLevelType w:val="hybridMultilevel"/>
    <w:tmpl w:val="EBF0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C07D35"/>
    <w:multiLevelType w:val="hybridMultilevel"/>
    <w:tmpl w:val="78A8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D4328E"/>
    <w:multiLevelType w:val="hybridMultilevel"/>
    <w:tmpl w:val="6EA08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2782B75"/>
    <w:multiLevelType w:val="hybridMultilevel"/>
    <w:tmpl w:val="E46213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916421"/>
    <w:multiLevelType w:val="hybridMultilevel"/>
    <w:tmpl w:val="2DD0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2A6D8E"/>
    <w:multiLevelType w:val="hybridMultilevel"/>
    <w:tmpl w:val="5C08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52567D"/>
    <w:multiLevelType w:val="hybridMultilevel"/>
    <w:tmpl w:val="42EE1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C7B0094"/>
    <w:multiLevelType w:val="hybridMultilevel"/>
    <w:tmpl w:val="E4425C96"/>
    <w:lvl w:ilvl="0" w:tplc="7884068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E213829"/>
    <w:multiLevelType w:val="hybridMultilevel"/>
    <w:tmpl w:val="7D2C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E27DE2"/>
    <w:multiLevelType w:val="hybridMultilevel"/>
    <w:tmpl w:val="5838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3D3B93"/>
    <w:multiLevelType w:val="hybridMultilevel"/>
    <w:tmpl w:val="48CAC884"/>
    <w:lvl w:ilvl="0" w:tplc="26D29908">
      <w:start w:val="1"/>
      <w:numFmt w:val="bullet"/>
      <w:lvlText w:val="•"/>
      <w:lvlJc w:val="left"/>
      <w:pPr>
        <w:tabs>
          <w:tab w:val="num" w:pos="720"/>
        </w:tabs>
        <w:ind w:left="720" w:hanging="360"/>
      </w:pPr>
      <w:rPr>
        <w:rFonts w:ascii="Arial" w:hAnsi="Arial" w:hint="default"/>
      </w:rPr>
    </w:lvl>
    <w:lvl w:ilvl="1" w:tplc="5372B130">
      <w:start w:val="1"/>
      <w:numFmt w:val="bullet"/>
      <w:lvlText w:val="•"/>
      <w:lvlJc w:val="left"/>
      <w:pPr>
        <w:tabs>
          <w:tab w:val="num" w:pos="1440"/>
        </w:tabs>
        <w:ind w:left="1440" w:hanging="360"/>
      </w:pPr>
      <w:rPr>
        <w:rFonts w:ascii="Arial" w:hAnsi="Arial" w:hint="default"/>
      </w:rPr>
    </w:lvl>
    <w:lvl w:ilvl="2" w:tplc="252C66F4" w:tentative="1">
      <w:start w:val="1"/>
      <w:numFmt w:val="bullet"/>
      <w:lvlText w:val="•"/>
      <w:lvlJc w:val="left"/>
      <w:pPr>
        <w:tabs>
          <w:tab w:val="num" w:pos="2160"/>
        </w:tabs>
        <w:ind w:left="2160" w:hanging="360"/>
      </w:pPr>
      <w:rPr>
        <w:rFonts w:ascii="Arial" w:hAnsi="Arial" w:hint="default"/>
      </w:rPr>
    </w:lvl>
    <w:lvl w:ilvl="3" w:tplc="FE4896C0">
      <w:start w:val="2408"/>
      <w:numFmt w:val="bullet"/>
      <w:lvlText w:val="•"/>
      <w:lvlJc w:val="left"/>
      <w:pPr>
        <w:tabs>
          <w:tab w:val="num" w:pos="2880"/>
        </w:tabs>
        <w:ind w:left="2880" w:hanging="360"/>
      </w:pPr>
      <w:rPr>
        <w:rFonts w:ascii="Arial" w:hAnsi="Arial" w:hint="default"/>
      </w:rPr>
    </w:lvl>
    <w:lvl w:ilvl="4" w:tplc="C194C952" w:tentative="1">
      <w:start w:val="1"/>
      <w:numFmt w:val="bullet"/>
      <w:lvlText w:val="•"/>
      <w:lvlJc w:val="left"/>
      <w:pPr>
        <w:tabs>
          <w:tab w:val="num" w:pos="3600"/>
        </w:tabs>
        <w:ind w:left="3600" w:hanging="360"/>
      </w:pPr>
      <w:rPr>
        <w:rFonts w:ascii="Arial" w:hAnsi="Arial" w:hint="default"/>
      </w:rPr>
    </w:lvl>
    <w:lvl w:ilvl="5" w:tplc="012A0972" w:tentative="1">
      <w:start w:val="1"/>
      <w:numFmt w:val="bullet"/>
      <w:lvlText w:val="•"/>
      <w:lvlJc w:val="left"/>
      <w:pPr>
        <w:tabs>
          <w:tab w:val="num" w:pos="4320"/>
        </w:tabs>
        <w:ind w:left="4320" w:hanging="360"/>
      </w:pPr>
      <w:rPr>
        <w:rFonts w:ascii="Arial" w:hAnsi="Arial" w:hint="default"/>
      </w:rPr>
    </w:lvl>
    <w:lvl w:ilvl="6" w:tplc="DC288DBA" w:tentative="1">
      <w:start w:val="1"/>
      <w:numFmt w:val="bullet"/>
      <w:lvlText w:val="•"/>
      <w:lvlJc w:val="left"/>
      <w:pPr>
        <w:tabs>
          <w:tab w:val="num" w:pos="5040"/>
        </w:tabs>
        <w:ind w:left="5040" w:hanging="360"/>
      </w:pPr>
      <w:rPr>
        <w:rFonts w:ascii="Arial" w:hAnsi="Arial" w:hint="default"/>
      </w:rPr>
    </w:lvl>
    <w:lvl w:ilvl="7" w:tplc="7E00572C" w:tentative="1">
      <w:start w:val="1"/>
      <w:numFmt w:val="bullet"/>
      <w:lvlText w:val="•"/>
      <w:lvlJc w:val="left"/>
      <w:pPr>
        <w:tabs>
          <w:tab w:val="num" w:pos="5760"/>
        </w:tabs>
        <w:ind w:left="5760" w:hanging="360"/>
      </w:pPr>
      <w:rPr>
        <w:rFonts w:ascii="Arial" w:hAnsi="Arial" w:hint="default"/>
      </w:rPr>
    </w:lvl>
    <w:lvl w:ilvl="8" w:tplc="C7CA0DD4" w:tentative="1">
      <w:start w:val="1"/>
      <w:numFmt w:val="bullet"/>
      <w:lvlText w:val="•"/>
      <w:lvlJc w:val="left"/>
      <w:pPr>
        <w:tabs>
          <w:tab w:val="num" w:pos="6480"/>
        </w:tabs>
        <w:ind w:left="6480" w:hanging="360"/>
      </w:pPr>
      <w:rPr>
        <w:rFonts w:ascii="Arial" w:hAnsi="Arial" w:hint="default"/>
      </w:rPr>
    </w:lvl>
  </w:abstractNum>
  <w:abstractNum w:abstractNumId="1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256CCC"/>
    <w:multiLevelType w:val="hybridMultilevel"/>
    <w:tmpl w:val="314C9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6610A6"/>
    <w:multiLevelType w:val="hybridMultilevel"/>
    <w:tmpl w:val="D776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CE7E12"/>
    <w:multiLevelType w:val="hybridMultilevel"/>
    <w:tmpl w:val="D2CA4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59474B"/>
    <w:multiLevelType w:val="hybridMultilevel"/>
    <w:tmpl w:val="7F5433A2"/>
    <w:lvl w:ilvl="0" w:tplc="36301FD2">
      <w:start w:val="1"/>
      <w:numFmt w:val="bullet"/>
      <w:lvlText w:val=""/>
      <w:lvlJc w:val="left"/>
      <w:pPr>
        <w:tabs>
          <w:tab w:val="num" w:pos="720"/>
        </w:tabs>
        <w:ind w:left="720" w:hanging="360"/>
      </w:pPr>
      <w:rPr>
        <w:rFonts w:ascii="Symbol" w:hAnsi="Symbol" w:hint="default"/>
      </w:rPr>
    </w:lvl>
    <w:lvl w:ilvl="1" w:tplc="0DE8F470" w:tentative="1">
      <w:start w:val="1"/>
      <w:numFmt w:val="bullet"/>
      <w:lvlText w:val=""/>
      <w:lvlJc w:val="left"/>
      <w:pPr>
        <w:tabs>
          <w:tab w:val="num" w:pos="1440"/>
        </w:tabs>
        <w:ind w:left="1440" w:hanging="360"/>
      </w:pPr>
      <w:rPr>
        <w:rFonts w:ascii="Symbol" w:hAnsi="Symbol" w:hint="default"/>
      </w:rPr>
    </w:lvl>
    <w:lvl w:ilvl="2" w:tplc="172083AE" w:tentative="1">
      <w:start w:val="1"/>
      <w:numFmt w:val="bullet"/>
      <w:lvlText w:val=""/>
      <w:lvlJc w:val="left"/>
      <w:pPr>
        <w:tabs>
          <w:tab w:val="num" w:pos="2160"/>
        </w:tabs>
        <w:ind w:left="2160" w:hanging="360"/>
      </w:pPr>
      <w:rPr>
        <w:rFonts w:ascii="Symbol" w:hAnsi="Symbol" w:hint="default"/>
      </w:rPr>
    </w:lvl>
    <w:lvl w:ilvl="3" w:tplc="2878EDA0" w:tentative="1">
      <w:start w:val="1"/>
      <w:numFmt w:val="bullet"/>
      <w:lvlText w:val=""/>
      <w:lvlJc w:val="left"/>
      <w:pPr>
        <w:tabs>
          <w:tab w:val="num" w:pos="2880"/>
        </w:tabs>
        <w:ind w:left="2880" w:hanging="360"/>
      </w:pPr>
      <w:rPr>
        <w:rFonts w:ascii="Symbol" w:hAnsi="Symbol" w:hint="default"/>
      </w:rPr>
    </w:lvl>
    <w:lvl w:ilvl="4" w:tplc="AB2E841A" w:tentative="1">
      <w:start w:val="1"/>
      <w:numFmt w:val="bullet"/>
      <w:lvlText w:val=""/>
      <w:lvlJc w:val="left"/>
      <w:pPr>
        <w:tabs>
          <w:tab w:val="num" w:pos="3600"/>
        </w:tabs>
        <w:ind w:left="3600" w:hanging="360"/>
      </w:pPr>
      <w:rPr>
        <w:rFonts w:ascii="Symbol" w:hAnsi="Symbol" w:hint="default"/>
      </w:rPr>
    </w:lvl>
    <w:lvl w:ilvl="5" w:tplc="724E959C" w:tentative="1">
      <w:start w:val="1"/>
      <w:numFmt w:val="bullet"/>
      <w:lvlText w:val=""/>
      <w:lvlJc w:val="left"/>
      <w:pPr>
        <w:tabs>
          <w:tab w:val="num" w:pos="4320"/>
        </w:tabs>
        <w:ind w:left="4320" w:hanging="360"/>
      </w:pPr>
      <w:rPr>
        <w:rFonts w:ascii="Symbol" w:hAnsi="Symbol" w:hint="default"/>
      </w:rPr>
    </w:lvl>
    <w:lvl w:ilvl="6" w:tplc="2140192E" w:tentative="1">
      <w:start w:val="1"/>
      <w:numFmt w:val="bullet"/>
      <w:lvlText w:val=""/>
      <w:lvlJc w:val="left"/>
      <w:pPr>
        <w:tabs>
          <w:tab w:val="num" w:pos="5040"/>
        </w:tabs>
        <w:ind w:left="5040" w:hanging="360"/>
      </w:pPr>
      <w:rPr>
        <w:rFonts w:ascii="Symbol" w:hAnsi="Symbol" w:hint="default"/>
      </w:rPr>
    </w:lvl>
    <w:lvl w:ilvl="7" w:tplc="5A248FC2" w:tentative="1">
      <w:start w:val="1"/>
      <w:numFmt w:val="bullet"/>
      <w:lvlText w:val=""/>
      <w:lvlJc w:val="left"/>
      <w:pPr>
        <w:tabs>
          <w:tab w:val="num" w:pos="5760"/>
        </w:tabs>
        <w:ind w:left="5760" w:hanging="360"/>
      </w:pPr>
      <w:rPr>
        <w:rFonts w:ascii="Symbol" w:hAnsi="Symbol" w:hint="default"/>
      </w:rPr>
    </w:lvl>
    <w:lvl w:ilvl="8" w:tplc="78C20B1E" w:tentative="1">
      <w:start w:val="1"/>
      <w:numFmt w:val="bullet"/>
      <w:lvlText w:val=""/>
      <w:lvlJc w:val="left"/>
      <w:pPr>
        <w:tabs>
          <w:tab w:val="num" w:pos="6480"/>
        </w:tabs>
        <w:ind w:left="6480" w:hanging="360"/>
      </w:pPr>
      <w:rPr>
        <w:rFonts w:ascii="Symbol" w:hAnsi="Symbol" w:hint="default"/>
      </w:rPr>
    </w:lvl>
  </w:abstractNum>
  <w:abstractNum w:abstractNumId="20">
    <w:nsid w:val="636C67DA"/>
    <w:multiLevelType w:val="hybridMultilevel"/>
    <w:tmpl w:val="E096858C"/>
    <w:lvl w:ilvl="0" w:tplc="AB94BE78">
      <w:start w:val="1"/>
      <w:numFmt w:val="bullet"/>
      <w:lvlText w:val="•"/>
      <w:lvlJc w:val="left"/>
      <w:pPr>
        <w:tabs>
          <w:tab w:val="num" w:pos="720"/>
        </w:tabs>
        <w:ind w:left="720" w:hanging="360"/>
      </w:pPr>
      <w:rPr>
        <w:rFonts w:ascii="Arial" w:hAnsi="Arial" w:hint="default"/>
      </w:rPr>
    </w:lvl>
    <w:lvl w:ilvl="1" w:tplc="B5E24AA4" w:tentative="1">
      <w:start w:val="1"/>
      <w:numFmt w:val="bullet"/>
      <w:lvlText w:val="•"/>
      <w:lvlJc w:val="left"/>
      <w:pPr>
        <w:tabs>
          <w:tab w:val="num" w:pos="1440"/>
        </w:tabs>
        <w:ind w:left="1440" w:hanging="360"/>
      </w:pPr>
      <w:rPr>
        <w:rFonts w:ascii="Arial" w:hAnsi="Arial" w:hint="default"/>
      </w:rPr>
    </w:lvl>
    <w:lvl w:ilvl="2" w:tplc="07547F16" w:tentative="1">
      <w:start w:val="1"/>
      <w:numFmt w:val="bullet"/>
      <w:lvlText w:val="•"/>
      <w:lvlJc w:val="left"/>
      <w:pPr>
        <w:tabs>
          <w:tab w:val="num" w:pos="2160"/>
        </w:tabs>
        <w:ind w:left="2160" w:hanging="360"/>
      </w:pPr>
      <w:rPr>
        <w:rFonts w:ascii="Arial" w:hAnsi="Arial" w:hint="default"/>
      </w:rPr>
    </w:lvl>
    <w:lvl w:ilvl="3" w:tplc="0AA8298E" w:tentative="1">
      <w:start w:val="1"/>
      <w:numFmt w:val="bullet"/>
      <w:lvlText w:val="•"/>
      <w:lvlJc w:val="left"/>
      <w:pPr>
        <w:tabs>
          <w:tab w:val="num" w:pos="2880"/>
        </w:tabs>
        <w:ind w:left="2880" w:hanging="360"/>
      </w:pPr>
      <w:rPr>
        <w:rFonts w:ascii="Arial" w:hAnsi="Arial" w:hint="default"/>
      </w:rPr>
    </w:lvl>
    <w:lvl w:ilvl="4" w:tplc="A43AD52E" w:tentative="1">
      <w:start w:val="1"/>
      <w:numFmt w:val="bullet"/>
      <w:lvlText w:val="•"/>
      <w:lvlJc w:val="left"/>
      <w:pPr>
        <w:tabs>
          <w:tab w:val="num" w:pos="3600"/>
        </w:tabs>
        <w:ind w:left="3600" w:hanging="360"/>
      </w:pPr>
      <w:rPr>
        <w:rFonts w:ascii="Arial" w:hAnsi="Arial" w:hint="default"/>
      </w:rPr>
    </w:lvl>
    <w:lvl w:ilvl="5" w:tplc="C5B6642A" w:tentative="1">
      <w:start w:val="1"/>
      <w:numFmt w:val="bullet"/>
      <w:lvlText w:val="•"/>
      <w:lvlJc w:val="left"/>
      <w:pPr>
        <w:tabs>
          <w:tab w:val="num" w:pos="4320"/>
        </w:tabs>
        <w:ind w:left="4320" w:hanging="360"/>
      </w:pPr>
      <w:rPr>
        <w:rFonts w:ascii="Arial" w:hAnsi="Arial" w:hint="default"/>
      </w:rPr>
    </w:lvl>
    <w:lvl w:ilvl="6" w:tplc="1F903138" w:tentative="1">
      <w:start w:val="1"/>
      <w:numFmt w:val="bullet"/>
      <w:lvlText w:val="•"/>
      <w:lvlJc w:val="left"/>
      <w:pPr>
        <w:tabs>
          <w:tab w:val="num" w:pos="5040"/>
        </w:tabs>
        <w:ind w:left="5040" w:hanging="360"/>
      </w:pPr>
      <w:rPr>
        <w:rFonts w:ascii="Arial" w:hAnsi="Arial" w:hint="default"/>
      </w:rPr>
    </w:lvl>
    <w:lvl w:ilvl="7" w:tplc="91EEF0F2" w:tentative="1">
      <w:start w:val="1"/>
      <w:numFmt w:val="bullet"/>
      <w:lvlText w:val="•"/>
      <w:lvlJc w:val="left"/>
      <w:pPr>
        <w:tabs>
          <w:tab w:val="num" w:pos="5760"/>
        </w:tabs>
        <w:ind w:left="5760" w:hanging="360"/>
      </w:pPr>
      <w:rPr>
        <w:rFonts w:ascii="Arial" w:hAnsi="Arial" w:hint="default"/>
      </w:rPr>
    </w:lvl>
    <w:lvl w:ilvl="8" w:tplc="168A01B2" w:tentative="1">
      <w:start w:val="1"/>
      <w:numFmt w:val="bullet"/>
      <w:lvlText w:val="•"/>
      <w:lvlJc w:val="left"/>
      <w:pPr>
        <w:tabs>
          <w:tab w:val="num" w:pos="6480"/>
        </w:tabs>
        <w:ind w:left="6480" w:hanging="360"/>
      </w:pPr>
      <w:rPr>
        <w:rFonts w:ascii="Arial" w:hAnsi="Arial" w:hint="default"/>
      </w:rPr>
    </w:lvl>
  </w:abstractNum>
  <w:abstractNum w:abstractNumId="21">
    <w:nsid w:val="66D83C6F"/>
    <w:multiLevelType w:val="hybridMultilevel"/>
    <w:tmpl w:val="598E3760"/>
    <w:lvl w:ilvl="0" w:tplc="26D29908">
      <w:start w:val="1"/>
      <w:numFmt w:val="bullet"/>
      <w:lvlText w:val="•"/>
      <w:lvlJc w:val="left"/>
      <w:pPr>
        <w:tabs>
          <w:tab w:val="num" w:pos="720"/>
        </w:tabs>
        <w:ind w:left="720" w:hanging="360"/>
      </w:pPr>
      <w:rPr>
        <w:rFonts w:ascii="Arial" w:hAnsi="Arial" w:hint="default"/>
      </w:rPr>
    </w:lvl>
    <w:lvl w:ilvl="1" w:tplc="5372B130">
      <w:start w:val="1"/>
      <w:numFmt w:val="bullet"/>
      <w:lvlText w:val="•"/>
      <w:lvlJc w:val="left"/>
      <w:pPr>
        <w:tabs>
          <w:tab w:val="num" w:pos="1440"/>
        </w:tabs>
        <w:ind w:left="1440" w:hanging="360"/>
      </w:pPr>
      <w:rPr>
        <w:rFonts w:ascii="Arial" w:hAnsi="Arial" w:hint="default"/>
      </w:rPr>
    </w:lvl>
    <w:lvl w:ilvl="2" w:tplc="252C66F4" w:tentative="1">
      <w:start w:val="1"/>
      <w:numFmt w:val="bullet"/>
      <w:lvlText w:val="•"/>
      <w:lvlJc w:val="left"/>
      <w:pPr>
        <w:tabs>
          <w:tab w:val="num" w:pos="2160"/>
        </w:tabs>
        <w:ind w:left="2160" w:hanging="360"/>
      </w:pPr>
      <w:rPr>
        <w:rFonts w:ascii="Arial" w:hAnsi="Arial" w:hint="default"/>
      </w:rPr>
    </w:lvl>
    <w:lvl w:ilvl="3" w:tplc="08090003">
      <w:start w:val="1"/>
      <w:numFmt w:val="bullet"/>
      <w:lvlText w:val="o"/>
      <w:lvlJc w:val="left"/>
      <w:pPr>
        <w:tabs>
          <w:tab w:val="num" w:pos="2880"/>
        </w:tabs>
        <w:ind w:left="2880" w:hanging="360"/>
      </w:pPr>
      <w:rPr>
        <w:rFonts w:ascii="Courier New" w:hAnsi="Courier New" w:cs="Courier New" w:hint="default"/>
      </w:rPr>
    </w:lvl>
    <w:lvl w:ilvl="4" w:tplc="C194C952" w:tentative="1">
      <w:start w:val="1"/>
      <w:numFmt w:val="bullet"/>
      <w:lvlText w:val="•"/>
      <w:lvlJc w:val="left"/>
      <w:pPr>
        <w:tabs>
          <w:tab w:val="num" w:pos="3600"/>
        </w:tabs>
        <w:ind w:left="3600" w:hanging="360"/>
      </w:pPr>
      <w:rPr>
        <w:rFonts w:ascii="Arial" w:hAnsi="Arial" w:hint="default"/>
      </w:rPr>
    </w:lvl>
    <w:lvl w:ilvl="5" w:tplc="012A0972" w:tentative="1">
      <w:start w:val="1"/>
      <w:numFmt w:val="bullet"/>
      <w:lvlText w:val="•"/>
      <w:lvlJc w:val="left"/>
      <w:pPr>
        <w:tabs>
          <w:tab w:val="num" w:pos="4320"/>
        </w:tabs>
        <w:ind w:left="4320" w:hanging="360"/>
      </w:pPr>
      <w:rPr>
        <w:rFonts w:ascii="Arial" w:hAnsi="Arial" w:hint="default"/>
      </w:rPr>
    </w:lvl>
    <w:lvl w:ilvl="6" w:tplc="DC288DBA" w:tentative="1">
      <w:start w:val="1"/>
      <w:numFmt w:val="bullet"/>
      <w:lvlText w:val="•"/>
      <w:lvlJc w:val="left"/>
      <w:pPr>
        <w:tabs>
          <w:tab w:val="num" w:pos="5040"/>
        </w:tabs>
        <w:ind w:left="5040" w:hanging="360"/>
      </w:pPr>
      <w:rPr>
        <w:rFonts w:ascii="Arial" w:hAnsi="Arial" w:hint="default"/>
      </w:rPr>
    </w:lvl>
    <w:lvl w:ilvl="7" w:tplc="7E00572C" w:tentative="1">
      <w:start w:val="1"/>
      <w:numFmt w:val="bullet"/>
      <w:lvlText w:val="•"/>
      <w:lvlJc w:val="left"/>
      <w:pPr>
        <w:tabs>
          <w:tab w:val="num" w:pos="5760"/>
        </w:tabs>
        <w:ind w:left="5760" w:hanging="360"/>
      </w:pPr>
      <w:rPr>
        <w:rFonts w:ascii="Arial" w:hAnsi="Arial" w:hint="default"/>
      </w:rPr>
    </w:lvl>
    <w:lvl w:ilvl="8" w:tplc="C7CA0DD4" w:tentative="1">
      <w:start w:val="1"/>
      <w:numFmt w:val="bullet"/>
      <w:lvlText w:val="•"/>
      <w:lvlJc w:val="left"/>
      <w:pPr>
        <w:tabs>
          <w:tab w:val="num" w:pos="6480"/>
        </w:tabs>
        <w:ind w:left="6480" w:hanging="360"/>
      </w:pPr>
      <w:rPr>
        <w:rFonts w:ascii="Arial" w:hAnsi="Arial" w:hint="default"/>
      </w:rPr>
    </w:lvl>
  </w:abstractNum>
  <w:abstractNum w:abstractNumId="22">
    <w:nsid w:val="6A200F8D"/>
    <w:multiLevelType w:val="hybridMultilevel"/>
    <w:tmpl w:val="6F18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4">
    <w:nsid w:val="73DA31A7"/>
    <w:multiLevelType w:val="hybridMultilevel"/>
    <w:tmpl w:val="D9B6B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98A72CA"/>
    <w:multiLevelType w:val="hybridMultilevel"/>
    <w:tmpl w:val="037C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23"/>
  </w:num>
  <w:num w:numId="9">
    <w:abstractNumId w:val="12"/>
  </w:num>
  <w:num w:numId="10">
    <w:abstractNumId w:val="17"/>
  </w:num>
  <w:num w:numId="11">
    <w:abstractNumId w:val="23"/>
  </w:num>
  <w:num w:numId="12">
    <w:abstractNumId w:val="12"/>
  </w:num>
  <w:num w:numId="13">
    <w:abstractNumId w:val="17"/>
  </w:num>
  <w:num w:numId="14">
    <w:abstractNumId w:val="22"/>
  </w:num>
  <w:num w:numId="15">
    <w:abstractNumId w:val="1"/>
  </w:num>
  <w:num w:numId="16">
    <w:abstractNumId w:val="15"/>
  </w:num>
  <w:num w:numId="17">
    <w:abstractNumId w:val="11"/>
  </w:num>
  <w:num w:numId="18">
    <w:abstractNumId w:val="5"/>
  </w:num>
  <w:num w:numId="19">
    <w:abstractNumId w:val="2"/>
  </w:num>
  <w:num w:numId="20">
    <w:abstractNumId w:val="18"/>
  </w:num>
  <w:num w:numId="21">
    <w:abstractNumId w:val="19"/>
  </w:num>
  <w:num w:numId="22">
    <w:abstractNumId w:val="16"/>
  </w:num>
  <w:num w:numId="23">
    <w:abstractNumId w:val="13"/>
  </w:num>
  <w:num w:numId="24">
    <w:abstractNumId w:val="20"/>
  </w:num>
  <w:num w:numId="25">
    <w:abstractNumId w:val="21"/>
  </w:num>
  <w:num w:numId="26">
    <w:abstractNumId w:val="4"/>
  </w:num>
  <w:num w:numId="27">
    <w:abstractNumId w:val="25"/>
  </w:num>
  <w:num w:numId="28">
    <w:abstractNumId w:val="9"/>
  </w:num>
  <w:num w:numId="29">
    <w:abstractNumId w:val="24"/>
  </w:num>
  <w:num w:numId="30">
    <w:abstractNumId w:val="14"/>
  </w:num>
  <w:num w:numId="31">
    <w:abstractNumId w:val="0"/>
  </w:num>
  <w:num w:numId="32">
    <w:abstractNumId w:val="3"/>
  </w:num>
  <w:num w:numId="33">
    <w:abstractNumId w:val="10"/>
  </w:num>
  <w:num w:numId="34">
    <w:abstractNumId w:val="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567"/>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58"/>
    <w:rsid w:val="0000208A"/>
    <w:rsid w:val="00002C46"/>
    <w:rsid w:val="00003FDE"/>
    <w:rsid w:val="00004F9E"/>
    <w:rsid w:val="0000542C"/>
    <w:rsid w:val="000123E1"/>
    <w:rsid w:val="000127E0"/>
    <w:rsid w:val="00022BFB"/>
    <w:rsid w:val="00041643"/>
    <w:rsid w:val="000462C5"/>
    <w:rsid w:val="000465AE"/>
    <w:rsid w:val="00046F4F"/>
    <w:rsid w:val="00047DB3"/>
    <w:rsid w:val="000606A3"/>
    <w:rsid w:val="000622E7"/>
    <w:rsid w:val="00062382"/>
    <w:rsid w:val="000633A0"/>
    <w:rsid w:val="0006374C"/>
    <w:rsid w:val="00066854"/>
    <w:rsid w:val="00066D85"/>
    <w:rsid w:val="00075D11"/>
    <w:rsid w:val="000835AF"/>
    <w:rsid w:val="00096D6C"/>
    <w:rsid w:val="000A17B4"/>
    <w:rsid w:val="000A38F8"/>
    <w:rsid w:val="000B58E8"/>
    <w:rsid w:val="000B6D29"/>
    <w:rsid w:val="000B76AA"/>
    <w:rsid w:val="000C316C"/>
    <w:rsid w:val="000D1302"/>
    <w:rsid w:val="000D2818"/>
    <w:rsid w:val="000D7DB3"/>
    <w:rsid w:val="000E0C9A"/>
    <w:rsid w:val="000E1BF3"/>
    <w:rsid w:val="000E2382"/>
    <w:rsid w:val="000E271A"/>
    <w:rsid w:val="000E41AD"/>
    <w:rsid w:val="000E6641"/>
    <w:rsid w:val="000F12E7"/>
    <w:rsid w:val="000F2196"/>
    <w:rsid w:val="001156CE"/>
    <w:rsid w:val="00115F37"/>
    <w:rsid w:val="00121E71"/>
    <w:rsid w:val="00122B49"/>
    <w:rsid w:val="00130993"/>
    <w:rsid w:val="00130E39"/>
    <w:rsid w:val="001433B6"/>
    <w:rsid w:val="00151A65"/>
    <w:rsid w:val="0016318D"/>
    <w:rsid w:val="00166223"/>
    <w:rsid w:val="001669FA"/>
    <w:rsid w:val="001734EA"/>
    <w:rsid w:val="001763BC"/>
    <w:rsid w:val="00182247"/>
    <w:rsid w:val="00183A11"/>
    <w:rsid w:val="00184403"/>
    <w:rsid w:val="0018470B"/>
    <w:rsid w:val="001859AD"/>
    <w:rsid w:val="00191770"/>
    <w:rsid w:val="001A0479"/>
    <w:rsid w:val="001A05E8"/>
    <w:rsid w:val="001A409E"/>
    <w:rsid w:val="001B41A9"/>
    <w:rsid w:val="001C047B"/>
    <w:rsid w:val="001C0DB3"/>
    <w:rsid w:val="001C275D"/>
    <w:rsid w:val="001C5126"/>
    <w:rsid w:val="001C76F9"/>
    <w:rsid w:val="001D26FA"/>
    <w:rsid w:val="001D67BC"/>
    <w:rsid w:val="001D6952"/>
    <w:rsid w:val="001E11C2"/>
    <w:rsid w:val="001E696B"/>
    <w:rsid w:val="001E796A"/>
    <w:rsid w:val="001F5F77"/>
    <w:rsid w:val="002170CA"/>
    <w:rsid w:val="002203D1"/>
    <w:rsid w:val="002232B1"/>
    <w:rsid w:val="00227E7F"/>
    <w:rsid w:val="002326CF"/>
    <w:rsid w:val="00234C31"/>
    <w:rsid w:val="00240404"/>
    <w:rsid w:val="00244964"/>
    <w:rsid w:val="00252FE7"/>
    <w:rsid w:val="002534D0"/>
    <w:rsid w:val="00264D75"/>
    <w:rsid w:val="00265510"/>
    <w:rsid w:val="00291352"/>
    <w:rsid w:val="002963A4"/>
    <w:rsid w:val="002A2316"/>
    <w:rsid w:val="002B190B"/>
    <w:rsid w:val="002B2654"/>
    <w:rsid w:val="002B7A44"/>
    <w:rsid w:val="002B7CA6"/>
    <w:rsid w:val="002D723B"/>
    <w:rsid w:val="002E7DD9"/>
    <w:rsid w:val="00323BE0"/>
    <w:rsid w:val="00326CB6"/>
    <w:rsid w:val="0033021F"/>
    <w:rsid w:val="0033617D"/>
    <w:rsid w:val="00336806"/>
    <w:rsid w:val="00341D25"/>
    <w:rsid w:val="003535E7"/>
    <w:rsid w:val="00354770"/>
    <w:rsid w:val="00365894"/>
    <w:rsid w:val="00377002"/>
    <w:rsid w:val="003859DC"/>
    <w:rsid w:val="003877D4"/>
    <w:rsid w:val="00391211"/>
    <w:rsid w:val="00392071"/>
    <w:rsid w:val="003A592A"/>
    <w:rsid w:val="003B01E5"/>
    <w:rsid w:val="003B18B8"/>
    <w:rsid w:val="003B7CB7"/>
    <w:rsid w:val="003C03A6"/>
    <w:rsid w:val="003C1CF2"/>
    <w:rsid w:val="003D1B9C"/>
    <w:rsid w:val="003F0CAB"/>
    <w:rsid w:val="003F786C"/>
    <w:rsid w:val="00403A7F"/>
    <w:rsid w:val="00404702"/>
    <w:rsid w:val="00407EF1"/>
    <w:rsid w:val="00413093"/>
    <w:rsid w:val="004205B9"/>
    <w:rsid w:val="00423D90"/>
    <w:rsid w:val="00433013"/>
    <w:rsid w:val="0043571A"/>
    <w:rsid w:val="00441D77"/>
    <w:rsid w:val="00443684"/>
    <w:rsid w:val="00443F05"/>
    <w:rsid w:val="0044446C"/>
    <w:rsid w:val="00456ABC"/>
    <w:rsid w:val="004608FC"/>
    <w:rsid w:val="00476511"/>
    <w:rsid w:val="00485148"/>
    <w:rsid w:val="004863B4"/>
    <w:rsid w:val="00486619"/>
    <w:rsid w:val="004904A2"/>
    <w:rsid w:val="00490D29"/>
    <w:rsid w:val="004A37C6"/>
    <w:rsid w:val="004A6885"/>
    <w:rsid w:val="004B2577"/>
    <w:rsid w:val="004B4D13"/>
    <w:rsid w:val="004D0280"/>
    <w:rsid w:val="004D0F24"/>
    <w:rsid w:val="004D14F4"/>
    <w:rsid w:val="004D3868"/>
    <w:rsid w:val="004E32AB"/>
    <w:rsid w:val="004E3F7E"/>
    <w:rsid w:val="004E6694"/>
    <w:rsid w:val="004F3389"/>
    <w:rsid w:val="0050353C"/>
    <w:rsid w:val="00512126"/>
    <w:rsid w:val="00512B98"/>
    <w:rsid w:val="005144BC"/>
    <w:rsid w:val="005161A2"/>
    <w:rsid w:val="005311CF"/>
    <w:rsid w:val="0054036E"/>
    <w:rsid w:val="00544F2F"/>
    <w:rsid w:val="00552BF6"/>
    <w:rsid w:val="00564650"/>
    <w:rsid w:val="00573083"/>
    <w:rsid w:val="00574082"/>
    <w:rsid w:val="00575CD5"/>
    <w:rsid w:val="0058029E"/>
    <w:rsid w:val="0058354A"/>
    <w:rsid w:val="005912CF"/>
    <w:rsid w:val="005B578D"/>
    <w:rsid w:val="005C1996"/>
    <w:rsid w:val="005C768F"/>
    <w:rsid w:val="005D1EE7"/>
    <w:rsid w:val="0060060A"/>
    <w:rsid w:val="00601E97"/>
    <w:rsid w:val="00602254"/>
    <w:rsid w:val="00621F53"/>
    <w:rsid w:val="00624D8E"/>
    <w:rsid w:val="00632144"/>
    <w:rsid w:val="00635926"/>
    <w:rsid w:val="006565AF"/>
    <w:rsid w:val="00662B7E"/>
    <w:rsid w:val="00663790"/>
    <w:rsid w:val="006729F6"/>
    <w:rsid w:val="00680E45"/>
    <w:rsid w:val="00685A6F"/>
    <w:rsid w:val="00691263"/>
    <w:rsid w:val="00696BE1"/>
    <w:rsid w:val="00696C2C"/>
    <w:rsid w:val="006A0086"/>
    <w:rsid w:val="006A6C07"/>
    <w:rsid w:val="006B1F00"/>
    <w:rsid w:val="006B6900"/>
    <w:rsid w:val="006D473E"/>
    <w:rsid w:val="006E2B8D"/>
    <w:rsid w:val="006F1EA8"/>
    <w:rsid w:val="006F41F1"/>
    <w:rsid w:val="00702A3D"/>
    <w:rsid w:val="00705264"/>
    <w:rsid w:val="007052E2"/>
    <w:rsid w:val="007069B4"/>
    <w:rsid w:val="00711DAB"/>
    <w:rsid w:val="00716E33"/>
    <w:rsid w:val="00720DC8"/>
    <w:rsid w:val="007221C4"/>
    <w:rsid w:val="007231D9"/>
    <w:rsid w:val="00730374"/>
    <w:rsid w:val="00731F95"/>
    <w:rsid w:val="007328EA"/>
    <w:rsid w:val="007369B1"/>
    <w:rsid w:val="00754479"/>
    <w:rsid w:val="0075548E"/>
    <w:rsid w:val="007566BA"/>
    <w:rsid w:val="0076433E"/>
    <w:rsid w:val="00766F3D"/>
    <w:rsid w:val="007748F4"/>
    <w:rsid w:val="00784FA9"/>
    <w:rsid w:val="00786157"/>
    <w:rsid w:val="00792E67"/>
    <w:rsid w:val="00793DE6"/>
    <w:rsid w:val="007A7F14"/>
    <w:rsid w:val="007B2069"/>
    <w:rsid w:val="007B6DDB"/>
    <w:rsid w:val="007B7061"/>
    <w:rsid w:val="007C3C5B"/>
    <w:rsid w:val="007C4197"/>
    <w:rsid w:val="007C5703"/>
    <w:rsid w:val="007E17FE"/>
    <w:rsid w:val="007E207C"/>
    <w:rsid w:val="007E2CB3"/>
    <w:rsid w:val="007E5EAF"/>
    <w:rsid w:val="007E64CA"/>
    <w:rsid w:val="007F6456"/>
    <w:rsid w:val="007F7068"/>
    <w:rsid w:val="007F7C98"/>
    <w:rsid w:val="0080089B"/>
    <w:rsid w:val="00816CC6"/>
    <w:rsid w:val="00830393"/>
    <w:rsid w:val="00832B21"/>
    <w:rsid w:val="00833D5A"/>
    <w:rsid w:val="00857EA0"/>
    <w:rsid w:val="00860EE7"/>
    <w:rsid w:val="00864864"/>
    <w:rsid w:val="00874A22"/>
    <w:rsid w:val="00877A81"/>
    <w:rsid w:val="008929D9"/>
    <w:rsid w:val="008931F6"/>
    <w:rsid w:val="008958AF"/>
    <w:rsid w:val="008B0A0D"/>
    <w:rsid w:val="008B41BF"/>
    <w:rsid w:val="008D0835"/>
    <w:rsid w:val="008D0C9F"/>
    <w:rsid w:val="008D3C21"/>
    <w:rsid w:val="008D6867"/>
    <w:rsid w:val="008D6B09"/>
    <w:rsid w:val="008E139F"/>
    <w:rsid w:val="008E2339"/>
    <w:rsid w:val="008E274C"/>
    <w:rsid w:val="008E4501"/>
    <w:rsid w:val="008E7F71"/>
    <w:rsid w:val="008F5B78"/>
    <w:rsid w:val="008F6F37"/>
    <w:rsid w:val="00900DE5"/>
    <w:rsid w:val="00905AB9"/>
    <w:rsid w:val="00905D89"/>
    <w:rsid w:val="00907282"/>
    <w:rsid w:val="00907991"/>
    <w:rsid w:val="00914538"/>
    <w:rsid w:val="00915C08"/>
    <w:rsid w:val="00924D23"/>
    <w:rsid w:val="0092714B"/>
    <w:rsid w:val="009308D3"/>
    <w:rsid w:val="00935023"/>
    <w:rsid w:val="00941849"/>
    <w:rsid w:val="0094690B"/>
    <w:rsid w:val="00951B6D"/>
    <w:rsid w:val="009534FD"/>
    <w:rsid w:val="00954D1D"/>
    <w:rsid w:val="00961750"/>
    <w:rsid w:val="00977C00"/>
    <w:rsid w:val="009806A5"/>
    <w:rsid w:val="00990907"/>
    <w:rsid w:val="009926E8"/>
    <w:rsid w:val="00993BEC"/>
    <w:rsid w:val="0099731F"/>
    <w:rsid w:val="009A7796"/>
    <w:rsid w:val="009B4C26"/>
    <w:rsid w:val="009B5072"/>
    <w:rsid w:val="009B6F0C"/>
    <w:rsid w:val="009B6F65"/>
    <w:rsid w:val="009C5826"/>
    <w:rsid w:val="009C7635"/>
    <w:rsid w:val="009E265A"/>
    <w:rsid w:val="009E3E47"/>
    <w:rsid w:val="009F50DF"/>
    <w:rsid w:val="009F55C6"/>
    <w:rsid w:val="00A054CC"/>
    <w:rsid w:val="00A061A0"/>
    <w:rsid w:val="00A116CC"/>
    <w:rsid w:val="00A24BA2"/>
    <w:rsid w:val="00A25B29"/>
    <w:rsid w:val="00A26F82"/>
    <w:rsid w:val="00A274D4"/>
    <w:rsid w:val="00A3455F"/>
    <w:rsid w:val="00A3548A"/>
    <w:rsid w:val="00A50A74"/>
    <w:rsid w:val="00A564D6"/>
    <w:rsid w:val="00A5724A"/>
    <w:rsid w:val="00A732E7"/>
    <w:rsid w:val="00A7673E"/>
    <w:rsid w:val="00A90326"/>
    <w:rsid w:val="00A92249"/>
    <w:rsid w:val="00A9484E"/>
    <w:rsid w:val="00AA1CEA"/>
    <w:rsid w:val="00AA5BB9"/>
    <w:rsid w:val="00AB7736"/>
    <w:rsid w:val="00AC2948"/>
    <w:rsid w:val="00AC4E02"/>
    <w:rsid w:val="00AD3205"/>
    <w:rsid w:val="00AE1C20"/>
    <w:rsid w:val="00AF063E"/>
    <w:rsid w:val="00AF68DC"/>
    <w:rsid w:val="00B0362D"/>
    <w:rsid w:val="00B0611C"/>
    <w:rsid w:val="00B10B68"/>
    <w:rsid w:val="00B13E7A"/>
    <w:rsid w:val="00B245AE"/>
    <w:rsid w:val="00B31609"/>
    <w:rsid w:val="00B37E9E"/>
    <w:rsid w:val="00B403F0"/>
    <w:rsid w:val="00B53154"/>
    <w:rsid w:val="00B540AE"/>
    <w:rsid w:val="00B54282"/>
    <w:rsid w:val="00B56CDA"/>
    <w:rsid w:val="00B6526F"/>
    <w:rsid w:val="00B667E1"/>
    <w:rsid w:val="00B704E7"/>
    <w:rsid w:val="00B758E1"/>
    <w:rsid w:val="00B76C2C"/>
    <w:rsid w:val="00B929CA"/>
    <w:rsid w:val="00B95B7A"/>
    <w:rsid w:val="00BA3A3B"/>
    <w:rsid w:val="00BC00CD"/>
    <w:rsid w:val="00BC2133"/>
    <w:rsid w:val="00BD0F75"/>
    <w:rsid w:val="00BE3A92"/>
    <w:rsid w:val="00BE4F3A"/>
    <w:rsid w:val="00BF7D98"/>
    <w:rsid w:val="00C00A14"/>
    <w:rsid w:val="00C019A6"/>
    <w:rsid w:val="00C0567C"/>
    <w:rsid w:val="00C12CB4"/>
    <w:rsid w:val="00C138EF"/>
    <w:rsid w:val="00C1474A"/>
    <w:rsid w:val="00C15AFF"/>
    <w:rsid w:val="00C209B0"/>
    <w:rsid w:val="00C20AD5"/>
    <w:rsid w:val="00C224E2"/>
    <w:rsid w:val="00C24777"/>
    <w:rsid w:val="00C27887"/>
    <w:rsid w:val="00C318D2"/>
    <w:rsid w:val="00C343DB"/>
    <w:rsid w:val="00C36075"/>
    <w:rsid w:val="00C37071"/>
    <w:rsid w:val="00C45D2F"/>
    <w:rsid w:val="00C46D45"/>
    <w:rsid w:val="00C50835"/>
    <w:rsid w:val="00C52397"/>
    <w:rsid w:val="00C572A2"/>
    <w:rsid w:val="00C62C7B"/>
    <w:rsid w:val="00C65278"/>
    <w:rsid w:val="00C700C0"/>
    <w:rsid w:val="00C7443A"/>
    <w:rsid w:val="00C752F2"/>
    <w:rsid w:val="00C81039"/>
    <w:rsid w:val="00C90A58"/>
    <w:rsid w:val="00C90DCB"/>
    <w:rsid w:val="00CA0221"/>
    <w:rsid w:val="00CA1A5A"/>
    <w:rsid w:val="00CA31C9"/>
    <w:rsid w:val="00CA65C3"/>
    <w:rsid w:val="00CA6D73"/>
    <w:rsid w:val="00CB087C"/>
    <w:rsid w:val="00CB6075"/>
    <w:rsid w:val="00CC377A"/>
    <w:rsid w:val="00CD728C"/>
    <w:rsid w:val="00CE4019"/>
    <w:rsid w:val="00CE4F88"/>
    <w:rsid w:val="00CF337C"/>
    <w:rsid w:val="00CF6CD3"/>
    <w:rsid w:val="00D04AC3"/>
    <w:rsid w:val="00D14963"/>
    <w:rsid w:val="00D14D9E"/>
    <w:rsid w:val="00D17493"/>
    <w:rsid w:val="00D23145"/>
    <w:rsid w:val="00D24341"/>
    <w:rsid w:val="00D25C37"/>
    <w:rsid w:val="00D339F9"/>
    <w:rsid w:val="00D41E64"/>
    <w:rsid w:val="00D4309D"/>
    <w:rsid w:val="00D4688F"/>
    <w:rsid w:val="00D5526B"/>
    <w:rsid w:val="00D56A1D"/>
    <w:rsid w:val="00D5769D"/>
    <w:rsid w:val="00D66962"/>
    <w:rsid w:val="00D71F2A"/>
    <w:rsid w:val="00D734CA"/>
    <w:rsid w:val="00D75C1B"/>
    <w:rsid w:val="00D76191"/>
    <w:rsid w:val="00D77C27"/>
    <w:rsid w:val="00D8236D"/>
    <w:rsid w:val="00D876C7"/>
    <w:rsid w:val="00D877FB"/>
    <w:rsid w:val="00D87D9C"/>
    <w:rsid w:val="00D92B3B"/>
    <w:rsid w:val="00DA1FE4"/>
    <w:rsid w:val="00DA400E"/>
    <w:rsid w:val="00DA62A2"/>
    <w:rsid w:val="00DA7DED"/>
    <w:rsid w:val="00DB740B"/>
    <w:rsid w:val="00DC323D"/>
    <w:rsid w:val="00DD0D16"/>
    <w:rsid w:val="00DE0E91"/>
    <w:rsid w:val="00DE51B6"/>
    <w:rsid w:val="00DF4A30"/>
    <w:rsid w:val="00E0050C"/>
    <w:rsid w:val="00E030F7"/>
    <w:rsid w:val="00E1653B"/>
    <w:rsid w:val="00E167E9"/>
    <w:rsid w:val="00E17D03"/>
    <w:rsid w:val="00E2450C"/>
    <w:rsid w:val="00E2778E"/>
    <w:rsid w:val="00E340B5"/>
    <w:rsid w:val="00E4001E"/>
    <w:rsid w:val="00E503A8"/>
    <w:rsid w:val="00E53ACA"/>
    <w:rsid w:val="00E56DB5"/>
    <w:rsid w:val="00E6664C"/>
    <w:rsid w:val="00E73ACF"/>
    <w:rsid w:val="00E74BF0"/>
    <w:rsid w:val="00E7728F"/>
    <w:rsid w:val="00E86F48"/>
    <w:rsid w:val="00E87759"/>
    <w:rsid w:val="00E9409E"/>
    <w:rsid w:val="00EA1D4E"/>
    <w:rsid w:val="00EB3DCB"/>
    <w:rsid w:val="00EC4C35"/>
    <w:rsid w:val="00EC4E72"/>
    <w:rsid w:val="00EF7B2C"/>
    <w:rsid w:val="00F0471D"/>
    <w:rsid w:val="00F05F4C"/>
    <w:rsid w:val="00F12DF4"/>
    <w:rsid w:val="00F36281"/>
    <w:rsid w:val="00F4105E"/>
    <w:rsid w:val="00F46399"/>
    <w:rsid w:val="00F4714B"/>
    <w:rsid w:val="00F47839"/>
    <w:rsid w:val="00F50D64"/>
    <w:rsid w:val="00F50DA2"/>
    <w:rsid w:val="00F616DA"/>
    <w:rsid w:val="00F66F6D"/>
    <w:rsid w:val="00F73E39"/>
    <w:rsid w:val="00F76F95"/>
    <w:rsid w:val="00F82ED4"/>
    <w:rsid w:val="00F8339D"/>
    <w:rsid w:val="00F85153"/>
    <w:rsid w:val="00F85435"/>
    <w:rsid w:val="00F87540"/>
    <w:rsid w:val="00F925EB"/>
    <w:rsid w:val="00F9520D"/>
    <w:rsid w:val="00FA0A97"/>
    <w:rsid w:val="00FA5F54"/>
    <w:rsid w:val="00FB0DDD"/>
    <w:rsid w:val="00FB0F07"/>
    <w:rsid w:val="00FB7F22"/>
    <w:rsid w:val="00FD1303"/>
    <w:rsid w:val="00FD35CD"/>
    <w:rsid w:val="00FD4B46"/>
    <w:rsid w:val="00FD4B8D"/>
    <w:rsid w:val="00FD667B"/>
    <w:rsid w:val="00FE0EC4"/>
    <w:rsid w:val="00FE252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90B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uiPriority="0"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874A22"/>
    <w:pPr>
      <w:keepNext/>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6A6C07"/>
    <w:pPr>
      <w:keepNext/>
      <w:spacing w:before="240" w:after="240"/>
      <w:outlineLvl w:val="2"/>
    </w:pPr>
    <w:rPr>
      <w:rFonts w:eastAsia="Times New Roman" w:cstheme="majorBidi"/>
      <w:b/>
      <w:bCs/>
      <w:szCs w:val="24"/>
      <w:lang w:eastAsia="en-AU" w:bidi="en-US"/>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874A22"/>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6A6C07"/>
    <w:rPr>
      <w:rFonts w:eastAsia="Times New Roman" w:cstheme="majorBidi"/>
      <w:b/>
      <w:bCs/>
      <w:szCs w:val="24"/>
      <w:lang w:val="en-GB" w:eastAsia="en-AU" w:bidi="en-US"/>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nhideWhenUsed/>
    <w:qFormat/>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styleId="FootnoteReference">
    <w:name w:val="footnote reference"/>
    <w:basedOn w:val="DefaultParagraphFont"/>
    <w:uiPriority w:val="99"/>
    <w:unhideWhenUsed/>
    <w:rsid w:val="008E274C"/>
    <w:rPr>
      <w:vertAlign w:val="superscript"/>
    </w:rPr>
  </w:style>
  <w:style w:type="paragraph" w:styleId="BalloonText">
    <w:name w:val="Balloon Text"/>
    <w:basedOn w:val="Normal"/>
    <w:link w:val="BalloonTextChar"/>
    <w:uiPriority w:val="99"/>
    <w:semiHidden/>
    <w:unhideWhenUsed/>
    <w:rsid w:val="00573083"/>
    <w:rPr>
      <w:rFonts w:ascii="Tahoma" w:hAnsi="Tahoma" w:cs="Tahoma"/>
      <w:sz w:val="16"/>
      <w:szCs w:val="16"/>
    </w:rPr>
  </w:style>
  <w:style w:type="character" w:customStyle="1" w:styleId="BalloonTextChar">
    <w:name w:val="Balloon Text Char"/>
    <w:basedOn w:val="DefaultParagraphFont"/>
    <w:link w:val="BalloonText"/>
    <w:uiPriority w:val="99"/>
    <w:semiHidden/>
    <w:rsid w:val="00573083"/>
    <w:rPr>
      <w:rFonts w:ascii="Tahoma" w:hAnsi="Tahoma" w:cs="Tahoma"/>
      <w:sz w:val="16"/>
      <w:szCs w:val="16"/>
      <w:lang w:val="en-GB"/>
    </w:rPr>
  </w:style>
  <w:style w:type="character" w:styleId="CommentReference">
    <w:name w:val="annotation reference"/>
    <w:basedOn w:val="DefaultParagraphFont"/>
    <w:uiPriority w:val="99"/>
    <w:unhideWhenUsed/>
    <w:rsid w:val="00573083"/>
    <w:rPr>
      <w:sz w:val="16"/>
      <w:szCs w:val="16"/>
    </w:rPr>
  </w:style>
  <w:style w:type="paragraph" w:styleId="CommentText">
    <w:name w:val="annotation text"/>
    <w:basedOn w:val="Normal"/>
    <w:link w:val="CommentTextChar"/>
    <w:unhideWhenUsed/>
    <w:rsid w:val="00573083"/>
    <w:rPr>
      <w:sz w:val="20"/>
      <w:szCs w:val="20"/>
    </w:rPr>
  </w:style>
  <w:style w:type="character" w:customStyle="1" w:styleId="CommentTextChar">
    <w:name w:val="Comment Text Char"/>
    <w:basedOn w:val="DefaultParagraphFont"/>
    <w:link w:val="CommentText"/>
    <w:rsid w:val="00573083"/>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573083"/>
    <w:rPr>
      <w:b/>
      <w:bCs/>
    </w:rPr>
  </w:style>
  <w:style w:type="character" w:customStyle="1" w:styleId="CommentSubjectChar">
    <w:name w:val="Comment Subject Char"/>
    <w:basedOn w:val="CommentTextChar"/>
    <w:link w:val="CommentSubject"/>
    <w:uiPriority w:val="99"/>
    <w:semiHidden/>
    <w:rsid w:val="00573083"/>
    <w:rPr>
      <w:rFonts w:cstheme="minorBidi"/>
      <w:b/>
      <w:bCs/>
      <w:sz w:val="20"/>
      <w:szCs w:val="20"/>
      <w:lang w:val="en-GB"/>
    </w:rPr>
  </w:style>
  <w:style w:type="character" w:styleId="Hyperlink">
    <w:name w:val="Hyperlink"/>
    <w:basedOn w:val="DefaultParagraphFont"/>
    <w:uiPriority w:val="99"/>
    <w:unhideWhenUsed/>
    <w:rsid w:val="00816CC6"/>
    <w:rPr>
      <w:color w:val="0000FF" w:themeColor="hyperlink"/>
      <w:u w:val="single"/>
    </w:rPr>
  </w:style>
  <w:style w:type="table" w:styleId="TableGrid">
    <w:name w:val="Table Grid"/>
    <w:basedOn w:val="TableNormal"/>
    <w:uiPriority w:val="59"/>
    <w:rsid w:val="00961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67B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STitle">
    <w:name w:val="FS Title"/>
    <w:basedOn w:val="Normal"/>
    <w:qFormat/>
    <w:rsid w:val="00874A22"/>
    <w:pPr>
      <w:widowControl w:val="0"/>
    </w:pPr>
    <w:rPr>
      <w:rFonts w:eastAsia="Times New Roman" w:cs="Tahoma"/>
      <w:bCs/>
      <w:sz w:val="32"/>
      <w:szCs w:val="24"/>
      <w:lang w:bidi="en-US"/>
    </w:rPr>
  </w:style>
  <w:style w:type="character" w:styleId="FollowedHyperlink">
    <w:name w:val="FollowedHyperlink"/>
    <w:basedOn w:val="DefaultParagraphFont"/>
    <w:uiPriority w:val="99"/>
    <w:semiHidden/>
    <w:unhideWhenUsed/>
    <w:rsid w:val="00F47839"/>
    <w:rPr>
      <w:color w:val="800080" w:themeColor="followedHyperlink"/>
      <w:u w:val="single"/>
    </w:rPr>
  </w:style>
  <w:style w:type="character" w:customStyle="1" w:styleId="srch-url2">
    <w:name w:val="srch-url2"/>
    <w:basedOn w:val="DefaultParagraphFont"/>
    <w:rsid w:val="00B6526F"/>
  </w:style>
  <w:style w:type="paragraph" w:styleId="Revision">
    <w:name w:val="Revision"/>
    <w:hidden/>
    <w:uiPriority w:val="99"/>
    <w:semiHidden/>
    <w:rsid w:val="007C3C5B"/>
    <w:rPr>
      <w:rFonts w:cstheme="minorBid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uiPriority="0"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874A22"/>
    <w:pPr>
      <w:keepNext/>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6A6C07"/>
    <w:pPr>
      <w:keepNext/>
      <w:spacing w:before="240" w:after="240"/>
      <w:outlineLvl w:val="2"/>
    </w:pPr>
    <w:rPr>
      <w:rFonts w:eastAsia="Times New Roman" w:cstheme="majorBidi"/>
      <w:b/>
      <w:bCs/>
      <w:szCs w:val="24"/>
      <w:lang w:eastAsia="en-AU" w:bidi="en-US"/>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874A22"/>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6A6C07"/>
    <w:rPr>
      <w:rFonts w:eastAsia="Times New Roman" w:cstheme="majorBidi"/>
      <w:b/>
      <w:bCs/>
      <w:szCs w:val="24"/>
      <w:lang w:val="en-GB" w:eastAsia="en-AU" w:bidi="en-US"/>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nhideWhenUsed/>
    <w:qFormat/>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styleId="FootnoteReference">
    <w:name w:val="footnote reference"/>
    <w:basedOn w:val="DefaultParagraphFont"/>
    <w:uiPriority w:val="99"/>
    <w:unhideWhenUsed/>
    <w:rsid w:val="008E274C"/>
    <w:rPr>
      <w:vertAlign w:val="superscript"/>
    </w:rPr>
  </w:style>
  <w:style w:type="paragraph" w:styleId="BalloonText">
    <w:name w:val="Balloon Text"/>
    <w:basedOn w:val="Normal"/>
    <w:link w:val="BalloonTextChar"/>
    <w:uiPriority w:val="99"/>
    <w:semiHidden/>
    <w:unhideWhenUsed/>
    <w:rsid w:val="00573083"/>
    <w:rPr>
      <w:rFonts w:ascii="Tahoma" w:hAnsi="Tahoma" w:cs="Tahoma"/>
      <w:sz w:val="16"/>
      <w:szCs w:val="16"/>
    </w:rPr>
  </w:style>
  <w:style w:type="character" w:customStyle="1" w:styleId="BalloonTextChar">
    <w:name w:val="Balloon Text Char"/>
    <w:basedOn w:val="DefaultParagraphFont"/>
    <w:link w:val="BalloonText"/>
    <w:uiPriority w:val="99"/>
    <w:semiHidden/>
    <w:rsid w:val="00573083"/>
    <w:rPr>
      <w:rFonts w:ascii="Tahoma" w:hAnsi="Tahoma" w:cs="Tahoma"/>
      <w:sz w:val="16"/>
      <w:szCs w:val="16"/>
      <w:lang w:val="en-GB"/>
    </w:rPr>
  </w:style>
  <w:style w:type="character" w:styleId="CommentReference">
    <w:name w:val="annotation reference"/>
    <w:basedOn w:val="DefaultParagraphFont"/>
    <w:uiPriority w:val="99"/>
    <w:unhideWhenUsed/>
    <w:rsid w:val="00573083"/>
    <w:rPr>
      <w:sz w:val="16"/>
      <w:szCs w:val="16"/>
    </w:rPr>
  </w:style>
  <w:style w:type="paragraph" w:styleId="CommentText">
    <w:name w:val="annotation text"/>
    <w:basedOn w:val="Normal"/>
    <w:link w:val="CommentTextChar"/>
    <w:unhideWhenUsed/>
    <w:rsid w:val="00573083"/>
    <w:rPr>
      <w:sz w:val="20"/>
      <w:szCs w:val="20"/>
    </w:rPr>
  </w:style>
  <w:style w:type="character" w:customStyle="1" w:styleId="CommentTextChar">
    <w:name w:val="Comment Text Char"/>
    <w:basedOn w:val="DefaultParagraphFont"/>
    <w:link w:val="CommentText"/>
    <w:rsid w:val="00573083"/>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573083"/>
    <w:rPr>
      <w:b/>
      <w:bCs/>
    </w:rPr>
  </w:style>
  <w:style w:type="character" w:customStyle="1" w:styleId="CommentSubjectChar">
    <w:name w:val="Comment Subject Char"/>
    <w:basedOn w:val="CommentTextChar"/>
    <w:link w:val="CommentSubject"/>
    <w:uiPriority w:val="99"/>
    <w:semiHidden/>
    <w:rsid w:val="00573083"/>
    <w:rPr>
      <w:rFonts w:cstheme="minorBidi"/>
      <w:b/>
      <w:bCs/>
      <w:sz w:val="20"/>
      <w:szCs w:val="20"/>
      <w:lang w:val="en-GB"/>
    </w:rPr>
  </w:style>
  <w:style w:type="character" w:styleId="Hyperlink">
    <w:name w:val="Hyperlink"/>
    <w:basedOn w:val="DefaultParagraphFont"/>
    <w:uiPriority w:val="99"/>
    <w:unhideWhenUsed/>
    <w:rsid w:val="00816CC6"/>
    <w:rPr>
      <w:color w:val="0000FF" w:themeColor="hyperlink"/>
      <w:u w:val="single"/>
    </w:rPr>
  </w:style>
  <w:style w:type="table" w:styleId="TableGrid">
    <w:name w:val="Table Grid"/>
    <w:basedOn w:val="TableNormal"/>
    <w:uiPriority w:val="59"/>
    <w:rsid w:val="00961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67B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STitle">
    <w:name w:val="FS Title"/>
    <w:basedOn w:val="Normal"/>
    <w:qFormat/>
    <w:rsid w:val="00874A22"/>
    <w:pPr>
      <w:widowControl w:val="0"/>
    </w:pPr>
    <w:rPr>
      <w:rFonts w:eastAsia="Times New Roman" w:cs="Tahoma"/>
      <w:bCs/>
      <w:sz w:val="32"/>
      <w:szCs w:val="24"/>
      <w:lang w:bidi="en-US"/>
    </w:rPr>
  </w:style>
  <w:style w:type="character" w:styleId="FollowedHyperlink">
    <w:name w:val="FollowedHyperlink"/>
    <w:basedOn w:val="DefaultParagraphFont"/>
    <w:uiPriority w:val="99"/>
    <w:semiHidden/>
    <w:unhideWhenUsed/>
    <w:rsid w:val="00F47839"/>
    <w:rPr>
      <w:color w:val="800080" w:themeColor="followedHyperlink"/>
      <w:u w:val="single"/>
    </w:rPr>
  </w:style>
  <w:style w:type="character" w:customStyle="1" w:styleId="srch-url2">
    <w:name w:val="srch-url2"/>
    <w:basedOn w:val="DefaultParagraphFont"/>
    <w:rsid w:val="00B6526F"/>
  </w:style>
  <w:style w:type="paragraph" w:styleId="Revision">
    <w:name w:val="Revision"/>
    <w:hidden/>
    <w:uiPriority w:val="99"/>
    <w:semiHidden/>
    <w:rsid w:val="007C3C5B"/>
    <w:rPr>
      <w:rFont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1876">
      <w:bodyDiv w:val="1"/>
      <w:marLeft w:val="0"/>
      <w:marRight w:val="0"/>
      <w:marTop w:val="0"/>
      <w:marBottom w:val="0"/>
      <w:divBdr>
        <w:top w:val="none" w:sz="0" w:space="0" w:color="auto"/>
        <w:left w:val="none" w:sz="0" w:space="0" w:color="auto"/>
        <w:bottom w:val="none" w:sz="0" w:space="0" w:color="auto"/>
        <w:right w:val="none" w:sz="0" w:space="0" w:color="auto"/>
      </w:divBdr>
    </w:div>
    <w:div w:id="150342001">
      <w:bodyDiv w:val="1"/>
      <w:marLeft w:val="0"/>
      <w:marRight w:val="0"/>
      <w:marTop w:val="0"/>
      <w:marBottom w:val="0"/>
      <w:divBdr>
        <w:top w:val="none" w:sz="0" w:space="0" w:color="auto"/>
        <w:left w:val="none" w:sz="0" w:space="0" w:color="auto"/>
        <w:bottom w:val="none" w:sz="0" w:space="0" w:color="auto"/>
        <w:right w:val="none" w:sz="0" w:space="0" w:color="auto"/>
      </w:divBdr>
      <w:divsChild>
        <w:div w:id="1082025101">
          <w:marLeft w:val="274"/>
          <w:marRight w:val="0"/>
          <w:marTop w:val="0"/>
          <w:marBottom w:val="0"/>
          <w:divBdr>
            <w:top w:val="none" w:sz="0" w:space="0" w:color="auto"/>
            <w:left w:val="none" w:sz="0" w:space="0" w:color="auto"/>
            <w:bottom w:val="none" w:sz="0" w:space="0" w:color="auto"/>
            <w:right w:val="none" w:sz="0" w:space="0" w:color="auto"/>
          </w:divBdr>
        </w:div>
      </w:divsChild>
    </w:div>
    <w:div w:id="150486218">
      <w:bodyDiv w:val="1"/>
      <w:marLeft w:val="0"/>
      <w:marRight w:val="0"/>
      <w:marTop w:val="0"/>
      <w:marBottom w:val="0"/>
      <w:divBdr>
        <w:top w:val="none" w:sz="0" w:space="0" w:color="auto"/>
        <w:left w:val="none" w:sz="0" w:space="0" w:color="auto"/>
        <w:bottom w:val="none" w:sz="0" w:space="0" w:color="auto"/>
        <w:right w:val="none" w:sz="0" w:space="0" w:color="auto"/>
      </w:divBdr>
    </w:div>
    <w:div w:id="409738678">
      <w:bodyDiv w:val="1"/>
      <w:marLeft w:val="0"/>
      <w:marRight w:val="0"/>
      <w:marTop w:val="0"/>
      <w:marBottom w:val="0"/>
      <w:divBdr>
        <w:top w:val="none" w:sz="0" w:space="0" w:color="auto"/>
        <w:left w:val="none" w:sz="0" w:space="0" w:color="auto"/>
        <w:bottom w:val="none" w:sz="0" w:space="0" w:color="auto"/>
        <w:right w:val="none" w:sz="0" w:space="0" w:color="auto"/>
      </w:divBdr>
      <w:divsChild>
        <w:div w:id="2121872034">
          <w:marLeft w:val="1166"/>
          <w:marRight w:val="0"/>
          <w:marTop w:val="96"/>
          <w:marBottom w:val="0"/>
          <w:divBdr>
            <w:top w:val="none" w:sz="0" w:space="0" w:color="auto"/>
            <w:left w:val="none" w:sz="0" w:space="0" w:color="auto"/>
            <w:bottom w:val="none" w:sz="0" w:space="0" w:color="auto"/>
            <w:right w:val="none" w:sz="0" w:space="0" w:color="auto"/>
          </w:divBdr>
        </w:div>
      </w:divsChild>
    </w:div>
    <w:div w:id="550265752">
      <w:bodyDiv w:val="1"/>
      <w:marLeft w:val="0"/>
      <w:marRight w:val="0"/>
      <w:marTop w:val="0"/>
      <w:marBottom w:val="0"/>
      <w:divBdr>
        <w:top w:val="none" w:sz="0" w:space="0" w:color="auto"/>
        <w:left w:val="none" w:sz="0" w:space="0" w:color="auto"/>
        <w:bottom w:val="none" w:sz="0" w:space="0" w:color="auto"/>
        <w:right w:val="none" w:sz="0" w:space="0" w:color="auto"/>
      </w:divBdr>
    </w:div>
    <w:div w:id="555700780">
      <w:bodyDiv w:val="1"/>
      <w:marLeft w:val="0"/>
      <w:marRight w:val="0"/>
      <w:marTop w:val="0"/>
      <w:marBottom w:val="0"/>
      <w:divBdr>
        <w:top w:val="none" w:sz="0" w:space="0" w:color="auto"/>
        <w:left w:val="none" w:sz="0" w:space="0" w:color="auto"/>
        <w:bottom w:val="none" w:sz="0" w:space="0" w:color="auto"/>
        <w:right w:val="none" w:sz="0" w:space="0" w:color="auto"/>
      </w:divBdr>
    </w:div>
    <w:div w:id="564728243">
      <w:bodyDiv w:val="1"/>
      <w:marLeft w:val="0"/>
      <w:marRight w:val="0"/>
      <w:marTop w:val="0"/>
      <w:marBottom w:val="0"/>
      <w:divBdr>
        <w:top w:val="none" w:sz="0" w:space="0" w:color="auto"/>
        <w:left w:val="none" w:sz="0" w:space="0" w:color="auto"/>
        <w:bottom w:val="none" w:sz="0" w:space="0" w:color="auto"/>
        <w:right w:val="none" w:sz="0" w:space="0" w:color="auto"/>
      </w:divBdr>
    </w:div>
    <w:div w:id="587151024">
      <w:bodyDiv w:val="1"/>
      <w:marLeft w:val="0"/>
      <w:marRight w:val="0"/>
      <w:marTop w:val="0"/>
      <w:marBottom w:val="0"/>
      <w:divBdr>
        <w:top w:val="none" w:sz="0" w:space="0" w:color="auto"/>
        <w:left w:val="none" w:sz="0" w:space="0" w:color="auto"/>
        <w:bottom w:val="none" w:sz="0" w:space="0" w:color="auto"/>
        <w:right w:val="none" w:sz="0" w:space="0" w:color="auto"/>
      </w:divBdr>
    </w:div>
    <w:div w:id="587927268">
      <w:bodyDiv w:val="1"/>
      <w:marLeft w:val="0"/>
      <w:marRight w:val="0"/>
      <w:marTop w:val="0"/>
      <w:marBottom w:val="0"/>
      <w:divBdr>
        <w:top w:val="none" w:sz="0" w:space="0" w:color="auto"/>
        <w:left w:val="none" w:sz="0" w:space="0" w:color="auto"/>
        <w:bottom w:val="none" w:sz="0" w:space="0" w:color="auto"/>
        <w:right w:val="none" w:sz="0" w:space="0" w:color="auto"/>
      </w:divBdr>
    </w:div>
    <w:div w:id="772749787">
      <w:bodyDiv w:val="1"/>
      <w:marLeft w:val="0"/>
      <w:marRight w:val="0"/>
      <w:marTop w:val="0"/>
      <w:marBottom w:val="0"/>
      <w:divBdr>
        <w:top w:val="none" w:sz="0" w:space="0" w:color="auto"/>
        <w:left w:val="none" w:sz="0" w:space="0" w:color="auto"/>
        <w:bottom w:val="none" w:sz="0" w:space="0" w:color="auto"/>
        <w:right w:val="none" w:sz="0" w:space="0" w:color="auto"/>
      </w:divBdr>
    </w:div>
    <w:div w:id="852378810">
      <w:bodyDiv w:val="1"/>
      <w:marLeft w:val="0"/>
      <w:marRight w:val="0"/>
      <w:marTop w:val="0"/>
      <w:marBottom w:val="0"/>
      <w:divBdr>
        <w:top w:val="none" w:sz="0" w:space="0" w:color="auto"/>
        <w:left w:val="none" w:sz="0" w:space="0" w:color="auto"/>
        <w:bottom w:val="none" w:sz="0" w:space="0" w:color="auto"/>
        <w:right w:val="none" w:sz="0" w:space="0" w:color="auto"/>
      </w:divBdr>
    </w:div>
    <w:div w:id="971011486">
      <w:bodyDiv w:val="1"/>
      <w:marLeft w:val="0"/>
      <w:marRight w:val="0"/>
      <w:marTop w:val="0"/>
      <w:marBottom w:val="0"/>
      <w:divBdr>
        <w:top w:val="none" w:sz="0" w:space="0" w:color="auto"/>
        <w:left w:val="none" w:sz="0" w:space="0" w:color="auto"/>
        <w:bottom w:val="none" w:sz="0" w:space="0" w:color="auto"/>
        <w:right w:val="none" w:sz="0" w:space="0" w:color="auto"/>
      </w:divBdr>
    </w:div>
    <w:div w:id="1032538425">
      <w:bodyDiv w:val="1"/>
      <w:marLeft w:val="0"/>
      <w:marRight w:val="0"/>
      <w:marTop w:val="0"/>
      <w:marBottom w:val="0"/>
      <w:divBdr>
        <w:top w:val="none" w:sz="0" w:space="0" w:color="auto"/>
        <w:left w:val="none" w:sz="0" w:space="0" w:color="auto"/>
        <w:bottom w:val="none" w:sz="0" w:space="0" w:color="auto"/>
        <w:right w:val="none" w:sz="0" w:space="0" w:color="auto"/>
      </w:divBdr>
      <w:divsChild>
        <w:div w:id="1861582077">
          <w:marLeft w:val="994"/>
          <w:marRight w:val="0"/>
          <w:marTop w:val="0"/>
          <w:marBottom w:val="0"/>
          <w:divBdr>
            <w:top w:val="none" w:sz="0" w:space="0" w:color="auto"/>
            <w:left w:val="none" w:sz="0" w:space="0" w:color="auto"/>
            <w:bottom w:val="none" w:sz="0" w:space="0" w:color="auto"/>
            <w:right w:val="none" w:sz="0" w:space="0" w:color="auto"/>
          </w:divBdr>
        </w:div>
        <w:div w:id="1451632112">
          <w:marLeft w:val="994"/>
          <w:marRight w:val="0"/>
          <w:marTop w:val="0"/>
          <w:marBottom w:val="0"/>
          <w:divBdr>
            <w:top w:val="none" w:sz="0" w:space="0" w:color="auto"/>
            <w:left w:val="none" w:sz="0" w:space="0" w:color="auto"/>
            <w:bottom w:val="none" w:sz="0" w:space="0" w:color="auto"/>
            <w:right w:val="none" w:sz="0" w:space="0" w:color="auto"/>
          </w:divBdr>
        </w:div>
        <w:div w:id="863716780">
          <w:marLeft w:val="994"/>
          <w:marRight w:val="0"/>
          <w:marTop w:val="0"/>
          <w:marBottom w:val="0"/>
          <w:divBdr>
            <w:top w:val="none" w:sz="0" w:space="0" w:color="auto"/>
            <w:left w:val="none" w:sz="0" w:space="0" w:color="auto"/>
            <w:bottom w:val="none" w:sz="0" w:space="0" w:color="auto"/>
            <w:right w:val="none" w:sz="0" w:space="0" w:color="auto"/>
          </w:divBdr>
        </w:div>
        <w:div w:id="1220631710">
          <w:marLeft w:val="2434"/>
          <w:marRight w:val="0"/>
          <w:marTop w:val="0"/>
          <w:marBottom w:val="0"/>
          <w:divBdr>
            <w:top w:val="none" w:sz="0" w:space="0" w:color="auto"/>
            <w:left w:val="none" w:sz="0" w:space="0" w:color="auto"/>
            <w:bottom w:val="none" w:sz="0" w:space="0" w:color="auto"/>
            <w:right w:val="none" w:sz="0" w:space="0" w:color="auto"/>
          </w:divBdr>
        </w:div>
        <w:div w:id="1668635211">
          <w:marLeft w:val="2434"/>
          <w:marRight w:val="0"/>
          <w:marTop w:val="0"/>
          <w:marBottom w:val="0"/>
          <w:divBdr>
            <w:top w:val="none" w:sz="0" w:space="0" w:color="auto"/>
            <w:left w:val="none" w:sz="0" w:space="0" w:color="auto"/>
            <w:bottom w:val="none" w:sz="0" w:space="0" w:color="auto"/>
            <w:right w:val="none" w:sz="0" w:space="0" w:color="auto"/>
          </w:divBdr>
        </w:div>
        <w:div w:id="464549202">
          <w:marLeft w:val="2434"/>
          <w:marRight w:val="0"/>
          <w:marTop w:val="0"/>
          <w:marBottom w:val="0"/>
          <w:divBdr>
            <w:top w:val="none" w:sz="0" w:space="0" w:color="auto"/>
            <w:left w:val="none" w:sz="0" w:space="0" w:color="auto"/>
            <w:bottom w:val="none" w:sz="0" w:space="0" w:color="auto"/>
            <w:right w:val="none" w:sz="0" w:space="0" w:color="auto"/>
          </w:divBdr>
        </w:div>
        <w:div w:id="2098668288">
          <w:marLeft w:val="274"/>
          <w:marRight w:val="0"/>
          <w:marTop w:val="0"/>
          <w:marBottom w:val="0"/>
          <w:divBdr>
            <w:top w:val="none" w:sz="0" w:space="0" w:color="auto"/>
            <w:left w:val="none" w:sz="0" w:space="0" w:color="auto"/>
            <w:bottom w:val="none" w:sz="0" w:space="0" w:color="auto"/>
            <w:right w:val="none" w:sz="0" w:space="0" w:color="auto"/>
          </w:divBdr>
        </w:div>
        <w:div w:id="171456493">
          <w:marLeft w:val="274"/>
          <w:marRight w:val="0"/>
          <w:marTop w:val="0"/>
          <w:marBottom w:val="0"/>
          <w:divBdr>
            <w:top w:val="none" w:sz="0" w:space="0" w:color="auto"/>
            <w:left w:val="none" w:sz="0" w:space="0" w:color="auto"/>
            <w:bottom w:val="none" w:sz="0" w:space="0" w:color="auto"/>
            <w:right w:val="none" w:sz="0" w:space="0" w:color="auto"/>
          </w:divBdr>
        </w:div>
        <w:div w:id="485360643">
          <w:marLeft w:val="274"/>
          <w:marRight w:val="0"/>
          <w:marTop w:val="0"/>
          <w:marBottom w:val="0"/>
          <w:divBdr>
            <w:top w:val="none" w:sz="0" w:space="0" w:color="auto"/>
            <w:left w:val="none" w:sz="0" w:space="0" w:color="auto"/>
            <w:bottom w:val="none" w:sz="0" w:space="0" w:color="auto"/>
            <w:right w:val="none" w:sz="0" w:space="0" w:color="auto"/>
          </w:divBdr>
        </w:div>
        <w:div w:id="956063497">
          <w:marLeft w:val="274"/>
          <w:marRight w:val="0"/>
          <w:marTop w:val="0"/>
          <w:marBottom w:val="0"/>
          <w:divBdr>
            <w:top w:val="none" w:sz="0" w:space="0" w:color="auto"/>
            <w:left w:val="none" w:sz="0" w:space="0" w:color="auto"/>
            <w:bottom w:val="none" w:sz="0" w:space="0" w:color="auto"/>
            <w:right w:val="none" w:sz="0" w:space="0" w:color="auto"/>
          </w:divBdr>
        </w:div>
        <w:div w:id="740828037">
          <w:marLeft w:val="274"/>
          <w:marRight w:val="0"/>
          <w:marTop w:val="0"/>
          <w:marBottom w:val="0"/>
          <w:divBdr>
            <w:top w:val="none" w:sz="0" w:space="0" w:color="auto"/>
            <w:left w:val="none" w:sz="0" w:space="0" w:color="auto"/>
            <w:bottom w:val="none" w:sz="0" w:space="0" w:color="auto"/>
            <w:right w:val="none" w:sz="0" w:space="0" w:color="auto"/>
          </w:divBdr>
        </w:div>
        <w:div w:id="263613229">
          <w:marLeft w:val="274"/>
          <w:marRight w:val="0"/>
          <w:marTop w:val="0"/>
          <w:marBottom w:val="0"/>
          <w:divBdr>
            <w:top w:val="none" w:sz="0" w:space="0" w:color="auto"/>
            <w:left w:val="none" w:sz="0" w:space="0" w:color="auto"/>
            <w:bottom w:val="none" w:sz="0" w:space="0" w:color="auto"/>
            <w:right w:val="none" w:sz="0" w:space="0" w:color="auto"/>
          </w:divBdr>
        </w:div>
      </w:divsChild>
    </w:div>
    <w:div w:id="1075323231">
      <w:bodyDiv w:val="1"/>
      <w:marLeft w:val="0"/>
      <w:marRight w:val="0"/>
      <w:marTop w:val="0"/>
      <w:marBottom w:val="0"/>
      <w:divBdr>
        <w:top w:val="none" w:sz="0" w:space="0" w:color="auto"/>
        <w:left w:val="none" w:sz="0" w:space="0" w:color="auto"/>
        <w:bottom w:val="none" w:sz="0" w:space="0" w:color="auto"/>
        <w:right w:val="none" w:sz="0" w:space="0" w:color="auto"/>
      </w:divBdr>
    </w:div>
    <w:div w:id="1135871727">
      <w:bodyDiv w:val="1"/>
      <w:marLeft w:val="0"/>
      <w:marRight w:val="0"/>
      <w:marTop w:val="0"/>
      <w:marBottom w:val="0"/>
      <w:divBdr>
        <w:top w:val="none" w:sz="0" w:space="0" w:color="auto"/>
        <w:left w:val="none" w:sz="0" w:space="0" w:color="auto"/>
        <w:bottom w:val="none" w:sz="0" w:space="0" w:color="auto"/>
        <w:right w:val="none" w:sz="0" w:space="0" w:color="auto"/>
      </w:divBdr>
    </w:div>
    <w:div w:id="1348094214">
      <w:bodyDiv w:val="1"/>
      <w:marLeft w:val="0"/>
      <w:marRight w:val="0"/>
      <w:marTop w:val="0"/>
      <w:marBottom w:val="0"/>
      <w:divBdr>
        <w:top w:val="none" w:sz="0" w:space="0" w:color="auto"/>
        <w:left w:val="none" w:sz="0" w:space="0" w:color="auto"/>
        <w:bottom w:val="none" w:sz="0" w:space="0" w:color="auto"/>
        <w:right w:val="none" w:sz="0" w:space="0" w:color="auto"/>
      </w:divBdr>
    </w:div>
    <w:div w:id="1364356928">
      <w:bodyDiv w:val="1"/>
      <w:marLeft w:val="0"/>
      <w:marRight w:val="0"/>
      <w:marTop w:val="0"/>
      <w:marBottom w:val="0"/>
      <w:divBdr>
        <w:top w:val="none" w:sz="0" w:space="0" w:color="auto"/>
        <w:left w:val="none" w:sz="0" w:space="0" w:color="auto"/>
        <w:bottom w:val="none" w:sz="0" w:space="0" w:color="auto"/>
        <w:right w:val="none" w:sz="0" w:space="0" w:color="auto"/>
      </w:divBdr>
    </w:div>
    <w:div w:id="1431122221">
      <w:bodyDiv w:val="1"/>
      <w:marLeft w:val="0"/>
      <w:marRight w:val="0"/>
      <w:marTop w:val="0"/>
      <w:marBottom w:val="0"/>
      <w:divBdr>
        <w:top w:val="none" w:sz="0" w:space="0" w:color="auto"/>
        <w:left w:val="none" w:sz="0" w:space="0" w:color="auto"/>
        <w:bottom w:val="none" w:sz="0" w:space="0" w:color="auto"/>
        <w:right w:val="none" w:sz="0" w:space="0" w:color="auto"/>
      </w:divBdr>
    </w:div>
    <w:div w:id="1638873354">
      <w:bodyDiv w:val="1"/>
      <w:marLeft w:val="0"/>
      <w:marRight w:val="0"/>
      <w:marTop w:val="0"/>
      <w:marBottom w:val="0"/>
      <w:divBdr>
        <w:top w:val="none" w:sz="0" w:space="0" w:color="auto"/>
        <w:left w:val="none" w:sz="0" w:space="0" w:color="auto"/>
        <w:bottom w:val="none" w:sz="0" w:space="0" w:color="auto"/>
        <w:right w:val="none" w:sz="0" w:space="0" w:color="auto"/>
      </w:divBdr>
    </w:div>
    <w:div w:id="1882355126">
      <w:bodyDiv w:val="1"/>
      <w:marLeft w:val="0"/>
      <w:marRight w:val="0"/>
      <w:marTop w:val="0"/>
      <w:marBottom w:val="0"/>
      <w:divBdr>
        <w:top w:val="none" w:sz="0" w:space="0" w:color="auto"/>
        <w:left w:val="none" w:sz="0" w:space="0" w:color="auto"/>
        <w:bottom w:val="none" w:sz="0" w:space="0" w:color="auto"/>
        <w:right w:val="none" w:sz="0" w:space="0" w:color="auto"/>
      </w:divBdr>
    </w:div>
    <w:div w:id="1892113182">
      <w:bodyDiv w:val="1"/>
      <w:marLeft w:val="0"/>
      <w:marRight w:val="0"/>
      <w:marTop w:val="0"/>
      <w:marBottom w:val="0"/>
      <w:divBdr>
        <w:top w:val="none" w:sz="0" w:space="0" w:color="auto"/>
        <w:left w:val="none" w:sz="0" w:space="0" w:color="auto"/>
        <w:bottom w:val="none" w:sz="0" w:space="0" w:color="auto"/>
        <w:right w:val="none" w:sz="0" w:space="0" w:color="auto"/>
      </w:divBdr>
    </w:div>
    <w:div w:id="1893073487">
      <w:bodyDiv w:val="1"/>
      <w:marLeft w:val="0"/>
      <w:marRight w:val="0"/>
      <w:marTop w:val="0"/>
      <w:marBottom w:val="0"/>
      <w:divBdr>
        <w:top w:val="none" w:sz="0" w:space="0" w:color="auto"/>
        <w:left w:val="none" w:sz="0" w:space="0" w:color="auto"/>
        <w:bottom w:val="none" w:sz="0" w:space="0" w:color="auto"/>
        <w:right w:val="none" w:sz="0" w:space="0" w:color="auto"/>
      </w:divBdr>
    </w:div>
    <w:div w:id="1919823147">
      <w:bodyDiv w:val="1"/>
      <w:marLeft w:val="0"/>
      <w:marRight w:val="0"/>
      <w:marTop w:val="0"/>
      <w:marBottom w:val="0"/>
      <w:divBdr>
        <w:top w:val="none" w:sz="0" w:space="0" w:color="auto"/>
        <w:left w:val="none" w:sz="0" w:space="0" w:color="auto"/>
        <w:bottom w:val="none" w:sz="0" w:space="0" w:color="auto"/>
        <w:right w:val="none" w:sz="0" w:space="0" w:color="auto"/>
      </w:divBdr>
      <w:divsChild>
        <w:div w:id="1359156606">
          <w:marLeft w:val="547"/>
          <w:marRight w:val="0"/>
          <w:marTop w:val="0"/>
          <w:marBottom w:val="0"/>
          <w:divBdr>
            <w:top w:val="none" w:sz="0" w:space="0" w:color="auto"/>
            <w:left w:val="none" w:sz="0" w:space="0" w:color="auto"/>
            <w:bottom w:val="none" w:sz="0" w:space="0" w:color="auto"/>
            <w:right w:val="none" w:sz="0" w:space="0" w:color="auto"/>
          </w:divBdr>
        </w:div>
        <w:div w:id="1241333870">
          <w:marLeft w:val="547"/>
          <w:marRight w:val="0"/>
          <w:marTop w:val="0"/>
          <w:marBottom w:val="0"/>
          <w:divBdr>
            <w:top w:val="none" w:sz="0" w:space="0" w:color="auto"/>
            <w:left w:val="none" w:sz="0" w:space="0" w:color="auto"/>
            <w:bottom w:val="none" w:sz="0" w:space="0" w:color="auto"/>
            <w:right w:val="none" w:sz="0" w:space="0" w:color="auto"/>
          </w:divBdr>
        </w:div>
        <w:div w:id="1750879393">
          <w:marLeft w:val="547"/>
          <w:marRight w:val="0"/>
          <w:marTop w:val="0"/>
          <w:marBottom w:val="0"/>
          <w:divBdr>
            <w:top w:val="none" w:sz="0" w:space="0" w:color="auto"/>
            <w:left w:val="none" w:sz="0" w:space="0" w:color="auto"/>
            <w:bottom w:val="none" w:sz="0" w:space="0" w:color="auto"/>
            <w:right w:val="none" w:sz="0" w:space="0" w:color="auto"/>
          </w:divBdr>
        </w:div>
        <w:div w:id="1902059651">
          <w:marLeft w:val="547"/>
          <w:marRight w:val="0"/>
          <w:marTop w:val="0"/>
          <w:marBottom w:val="0"/>
          <w:divBdr>
            <w:top w:val="none" w:sz="0" w:space="0" w:color="auto"/>
            <w:left w:val="none" w:sz="0" w:space="0" w:color="auto"/>
            <w:bottom w:val="none" w:sz="0" w:space="0" w:color="auto"/>
            <w:right w:val="none" w:sz="0" w:space="0" w:color="auto"/>
          </w:divBdr>
        </w:div>
        <w:div w:id="1842235689">
          <w:marLeft w:val="547"/>
          <w:marRight w:val="0"/>
          <w:marTop w:val="0"/>
          <w:marBottom w:val="0"/>
          <w:divBdr>
            <w:top w:val="none" w:sz="0" w:space="0" w:color="auto"/>
            <w:left w:val="none" w:sz="0" w:space="0" w:color="auto"/>
            <w:bottom w:val="none" w:sz="0" w:space="0" w:color="auto"/>
            <w:right w:val="none" w:sz="0" w:space="0" w:color="auto"/>
          </w:divBdr>
        </w:div>
        <w:div w:id="1305357372">
          <w:marLeft w:val="547"/>
          <w:marRight w:val="0"/>
          <w:marTop w:val="0"/>
          <w:marBottom w:val="0"/>
          <w:divBdr>
            <w:top w:val="none" w:sz="0" w:space="0" w:color="auto"/>
            <w:left w:val="none" w:sz="0" w:space="0" w:color="auto"/>
            <w:bottom w:val="none" w:sz="0" w:space="0" w:color="auto"/>
            <w:right w:val="none" w:sz="0" w:space="0" w:color="auto"/>
          </w:divBdr>
        </w:div>
        <w:div w:id="649560010">
          <w:marLeft w:val="547"/>
          <w:marRight w:val="0"/>
          <w:marTop w:val="0"/>
          <w:marBottom w:val="0"/>
          <w:divBdr>
            <w:top w:val="none" w:sz="0" w:space="0" w:color="auto"/>
            <w:left w:val="none" w:sz="0" w:space="0" w:color="auto"/>
            <w:bottom w:val="none" w:sz="0" w:space="0" w:color="auto"/>
            <w:right w:val="none" w:sz="0" w:space="0" w:color="auto"/>
          </w:divBdr>
        </w:div>
        <w:div w:id="230505030">
          <w:marLeft w:val="547"/>
          <w:marRight w:val="0"/>
          <w:marTop w:val="0"/>
          <w:marBottom w:val="0"/>
          <w:divBdr>
            <w:top w:val="none" w:sz="0" w:space="0" w:color="auto"/>
            <w:left w:val="none" w:sz="0" w:space="0" w:color="auto"/>
            <w:bottom w:val="none" w:sz="0" w:space="0" w:color="auto"/>
            <w:right w:val="none" w:sz="0" w:space="0" w:color="auto"/>
          </w:divBdr>
        </w:div>
        <w:div w:id="1001086043">
          <w:marLeft w:val="547"/>
          <w:marRight w:val="0"/>
          <w:marTop w:val="0"/>
          <w:marBottom w:val="0"/>
          <w:divBdr>
            <w:top w:val="none" w:sz="0" w:space="0" w:color="auto"/>
            <w:left w:val="none" w:sz="0" w:space="0" w:color="auto"/>
            <w:bottom w:val="none" w:sz="0" w:space="0" w:color="auto"/>
            <w:right w:val="none" w:sz="0" w:space="0" w:color="auto"/>
          </w:divBdr>
        </w:div>
        <w:div w:id="1187793479">
          <w:marLeft w:val="547"/>
          <w:marRight w:val="0"/>
          <w:marTop w:val="0"/>
          <w:marBottom w:val="0"/>
          <w:divBdr>
            <w:top w:val="none" w:sz="0" w:space="0" w:color="auto"/>
            <w:left w:val="none" w:sz="0" w:space="0" w:color="auto"/>
            <w:bottom w:val="none" w:sz="0" w:space="0" w:color="auto"/>
            <w:right w:val="none" w:sz="0" w:space="0" w:color="auto"/>
          </w:divBdr>
        </w:div>
        <w:div w:id="2139034115">
          <w:marLeft w:val="547"/>
          <w:marRight w:val="0"/>
          <w:marTop w:val="0"/>
          <w:marBottom w:val="0"/>
          <w:divBdr>
            <w:top w:val="none" w:sz="0" w:space="0" w:color="auto"/>
            <w:left w:val="none" w:sz="0" w:space="0" w:color="auto"/>
            <w:bottom w:val="none" w:sz="0" w:space="0" w:color="auto"/>
            <w:right w:val="none" w:sz="0" w:space="0" w:color="auto"/>
          </w:divBdr>
        </w:div>
        <w:div w:id="931474134">
          <w:marLeft w:val="547"/>
          <w:marRight w:val="0"/>
          <w:marTop w:val="0"/>
          <w:marBottom w:val="0"/>
          <w:divBdr>
            <w:top w:val="none" w:sz="0" w:space="0" w:color="auto"/>
            <w:left w:val="none" w:sz="0" w:space="0" w:color="auto"/>
            <w:bottom w:val="none" w:sz="0" w:space="0" w:color="auto"/>
            <w:right w:val="none" w:sz="0" w:space="0" w:color="auto"/>
          </w:divBdr>
        </w:div>
        <w:div w:id="1630739772">
          <w:marLeft w:val="547"/>
          <w:marRight w:val="0"/>
          <w:marTop w:val="0"/>
          <w:marBottom w:val="0"/>
          <w:divBdr>
            <w:top w:val="none" w:sz="0" w:space="0" w:color="auto"/>
            <w:left w:val="none" w:sz="0" w:space="0" w:color="auto"/>
            <w:bottom w:val="none" w:sz="0" w:space="0" w:color="auto"/>
            <w:right w:val="none" w:sz="0" w:space="0" w:color="auto"/>
          </w:divBdr>
        </w:div>
        <w:div w:id="645554002">
          <w:marLeft w:val="547"/>
          <w:marRight w:val="0"/>
          <w:marTop w:val="0"/>
          <w:marBottom w:val="0"/>
          <w:divBdr>
            <w:top w:val="none" w:sz="0" w:space="0" w:color="auto"/>
            <w:left w:val="none" w:sz="0" w:space="0" w:color="auto"/>
            <w:bottom w:val="none" w:sz="0" w:space="0" w:color="auto"/>
            <w:right w:val="none" w:sz="0" w:space="0" w:color="auto"/>
          </w:divBdr>
        </w:div>
        <w:div w:id="1434207346">
          <w:marLeft w:val="547"/>
          <w:marRight w:val="0"/>
          <w:marTop w:val="0"/>
          <w:marBottom w:val="0"/>
          <w:divBdr>
            <w:top w:val="none" w:sz="0" w:space="0" w:color="auto"/>
            <w:left w:val="none" w:sz="0" w:space="0" w:color="auto"/>
            <w:bottom w:val="none" w:sz="0" w:space="0" w:color="auto"/>
            <w:right w:val="none" w:sz="0" w:space="0" w:color="auto"/>
          </w:divBdr>
        </w:div>
      </w:divsChild>
    </w:div>
    <w:div w:id="1920598322">
      <w:bodyDiv w:val="1"/>
      <w:marLeft w:val="0"/>
      <w:marRight w:val="0"/>
      <w:marTop w:val="0"/>
      <w:marBottom w:val="0"/>
      <w:divBdr>
        <w:top w:val="none" w:sz="0" w:space="0" w:color="auto"/>
        <w:left w:val="none" w:sz="0" w:space="0" w:color="auto"/>
        <w:bottom w:val="none" w:sz="0" w:space="0" w:color="auto"/>
        <w:right w:val="none" w:sz="0" w:space="0" w:color="auto"/>
      </w:divBdr>
    </w:div>
    <w:div w:id="2000427734">
      <w:bodyDiv w:val="1"/>
      <w:marLeft w:val="0"/>
      <w:marRight w:val="0"/>
      <w:marTop w:val="0"/>
      <w:marBottom w:val="0"/>
      <w:divBdr>
        <w:top w:val="none" w:sz="0" w:space="0" w:color="auto"/>
        <w:left w:val="none" w:sz="0" w:space="0" w:color="auto"/>
        <w:bottom w:val="none" w:sz="0" w:space="0" w:color="auto"/>
        <w:right w:val="none" w:sz="0" w:space="0" w:color="auto"/>
      </w:divBdr>
    </w:div>
    <w:div w:id="2025588401">
      <w:bodyDiv w:val="1"/>
      <w:marLeft w:val="0"/>
      <w:marRight w:val="0"/>
      <w:marTop w:val="0"/>
      <w:marBottom w:val="0"/>
      <w:divBdr>
        <w:top w:val="none" w:sz="0" w:space="0" w:color="auto"/>
        <w:left w:val="none" w:sz="0" w:space="0" w:color="auto"/>
        <w:bottom w:val="none" w:sz="0" w:space="0" w:color="auto"/>
        <w:right w:val="none" w:sz="0" w:space="0" w:color="auto"/>
      </w:divBdr>
      <w:divsChild>
        <w:div w:id="102306172">
          <w:marLeft w:val="994"/>
          <w:marRight w:val="0"/>
          <w:marTop w:val="0"/>
          <w:marBottom w:val="0"/>
          <w:divBdr>
            <w:top w:val="none" w:sz="0" w:space="0" w:color="auto"/>
            <w:left w:val="none" w:sz="0" w:space="0" w:color="auto"/>
            <w:bottom w:val="none" w:sz="0" w:space="0" w:color="auto"/>
            <w:right w:val="none" w:sz="0" w:space="0" w:color="auto"/>
          </w:divBdr>
        </w:div>
        <w:div w:id="2131707780">
          <w:marLeft w:val="994"/>
          <w:marRight w:val="0"/>
          <w:marTop w:val="0"/>
          <w:marBottom w:val="0"/>
          <w:divBdr>
            <w:top w:val="none" w:sz="0" w:space="0" w:color="auto"/>
            <w:left w:val="none" w:sz="0" w:space="0" w:color="auto"/>
            <w:bottom w:val="none" w:sz="0" w:space="0" w:color="auto"/>
            <w:right w:val="none" w:sz="0" w:space="0" w:color="auto"/>
          </w:divBdr>
        </w:div>
        <w:div w:id="216014919">
          <w:marLeft w:val="994"/>
          <w:marRight w:val="0"/>
          <w:marTop w:val="0"/>
          <w:marBottom w:val="0"/>
          <w:divBdr>
            <w:top w:val="none" w:sz="0" w:space="0" w:color="auto"/>
            <w:left w:val="none" w:sz="0" w:space="0" w:color="auto"/>
            <w:bottom w:val="none" w:sz="0" w:space="0" w:color="auto"/>
            <w:right w:val="none" w:sz="0" w:space="0" w:color="auto"/>
          </w:divBdr>
        </w:div>
        <w:div w:id="1207572417">
          <w:marLeft w:val="2434"/>
          <w:marRight w:val="0"/>
          <w:marTop w:val="0"/>
          <w:marBottom w:val="0"/>
          <w:divBdr>
            <w:top w:val="none" w:sz="0" w:space="0" w:color="auto"/>
            <w:left w:val="none" w:sz="0" w:space="0" w:color="auto"/>
            <w:bottom w:val="none" w:sz="0" w:space="0" w:color="auto"/>
            <w:right w:val="none" w:sz="0" w:space="0" w:color="auto"/>
          </w:divBdr>
        </w:div>
        <w:div w:id="965500491">
          <w:marLeft w:val="2434"/>
          <w:marRight w:val="0"/>
          <w:marTop w:val="0"/>
          <w:marBottom w:val="0"/>
          <w:divBdr>
            <w:top w:val="none" w:sz="0" w:space="0" w:color="auto"/>
            <w:left w:val="none" w:sz="0" w:space="0" w:color="auto"/>
            <w:bottom w:val="none" w:sz="0" w:space="0" w:color="auto"/>
            <w:right w:val="none" w:sz="0" w:space="0" w:color="auto"/>
          </w:divBdr>
        </w:div>
        <w:div w:id="354111795">
          <w:marLeft w:val="2434"/>
          <w:marRight w:val="0"/>
          <w:marTop w:val="0"/>
          <w:marBottom w:val="0"/>
          <w:divBdr>
            <w:top w:val="none" w:sz="0" w:space="0" w:color="auto"/>
            <w:left w:val="none" w:sz="0" w:space="0" w:color="auto"/>
            <w:bottom w:val="none" w:sz="0" w:space="0" w:color="auto"/>
            <w:right w:val="none" w:sz="0" w:space="0" w:color="auto"/>
          </w:divBdr>
        </w:div>
        <w:div w:id="199167846">
          <w:marLeft w:val="274"/>
          <w:marRight w:val="0"/>
          <w:marTop w:val="0"/>
          <w:marBottom w:val="0"/>
          <w:divBdr>
            <w:top w:val="none" w:sz="0" w:space="0" w:color="auto"/>
            <w:left w:val="none" w:sz="0" w:space="0" w:color="auto"/>
            <w:bottom w:val="none" w:sz="0" w:space="0" w:color="auto"/>
            <w:right w:val="none" w:sz="0" w:space="0" w:color="auto"/>
          </w:divBdr>
        </w:div>
        <w:div w:id="98718983">
          <w:marLeft w:val="274"/>
          <w:marRight w:val="0"/>
          <w:marTop w:val="0"/>
          <w:marBottom w:val="0"/>
          <w:divBdr>
            <w:top w:val="none" w:sz="0" w:space="0" w:color="auto"/>
            <w:left w:val="none" w:sz="0" w:space="0" w:color="auto"/>
            <w:bottom w:val="none" w:sz="0" w:space="0" w:color="auto"/>
            <w:right w:val="none" w:sz="0" w:space="0" w:color="auto"/>
          </w:divBdr>
        </w:div>
        <w:div w:id="1249653320">
          <w:marLeft w:val="274"/>
          <w:marRight w:val="0"/>
          <w:marTop w:val="0"/>
          <w:marBottom w:val="0"/>
          <w:divBdr>
            <w:top w:val="none" w:sz="0" w:space="0" w:color="auto"/>
            <w:left w:val="none" w:sz="0" w:space="0" w:color="auto"/>
            <w:bottom w:val="none" w:sz="0" w:space="0" w:color="auto"/>
            <w:right w:val="none" w:sz="0" w:space="0" w:color="auto"/>
          </w:divBdr>
        </w:div>
        <w:div w:id="1853644762">
          <w:marLeft w:val="274"/>
          <w:marRight w:val="0"/>
          <w:marTop w:val="0"/>
          <w:marBottom w:val="0"/>
          <w:divBdr>
            <w:top w:val="none" w:sz="0" w:space="0" w:color="auto"/>
            <w:left w:val="none" w:sz="0" w:space="0" w:color="auto"/>
            <w:bottom w:val="none" w:sz="0" w:space="0" w:color="auto"/>
            <w:right w:val="none" w:sz="0" w:space="0" w:color="auto"/>
          </w:divBdr>
        </w:div>
        <w:div w:id="1849824824">
          <w:marLeft w:val="274"/>
          <w:marRight w:val="0"/>
          <w:marTop w:val="0"/>
          <w:marBottom w:val="0"/>
          <w:divBdr>
            <w:top w:val="none" w:sz="0" w:space="0" w:color="auto"/>
            <w:left w:val="none" w:sz="0" w:space="0" w:color="auto"/>
            <w:bottom w:val="none" w:sz="0" w:space="0" w:color="auto"/>
            <w:right w:val="none" w:sz="0" w:space="0" w:color="auto"/>
          </w:divBdr>
        </w:div>
        <w:div w:id="1775978134">
          <w:marLeft w:val="274"/>
          <w:marRight w:val="0"/>
          <w:marTop w:val="0"/>
          <w:marBottom w:val="0"/>
          <w:divBdr>
            <w:top w:val="none" w:sz="0" w:space="0" w:color="auto"/>
            <w:left w:val="none" w:sz="0" w:space="0" w:color="auto"/>
            <w:bottom w:val="none" w:sz="0" w:space="0" w:color="auto"/>
            <w:right w:val="none" w:sz="0" w:space="0" w:color="auto"/>
          </w:divBdr>
        </w:div>
      </w:divsChild>
    </w:div>
    <w:div w:id="2040886227">
      <w:bodyDiv w:val="1"/>
      <w:marLeft w:val="0"/>
      <w:marRight w:val="0"/>
      <w:marTop w:val="0"/>
      <w:marBottom w:val="0"/>
      <w:divBdr>
        <w:top w:val="none" w:sz="0" w:space="0" w:color="auto"/>
        <w:left w:val="none" w:sz="0" w:space="0" w:color="auto"/>
        <w:bottom w:val="none" w:sz="0" w:space="0" w:color="auto"/>
        <w:right w:val="none" w:sz="0" w:space="0" w:color="auto"/>
      </w:divBdr>
      <w:divsChild>
        <w:div w:id="146565689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22"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1034ChemicalMigrationfromPackagingintoFoo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C46AB-E155-4B74-AF55-F949480FEF95}"/>
</file>

<file path=customXml/itemProps2.xml><?xml version="1.0" encoding="utf-8"?>
<ds:datastoreItem xmlns:ds="http://schemas.openxmlformats.org/officeDocument/2006/customXml" ds:itemID="{064A3B8D-A9E9-4590-BC3B-BB448E9F645A}"/>
</file>

<file path=customXml/itemProps3.xml><?xml version="1.0" encoding="utf-8"?>
<ds:datastoreItem xmlns:ds="http://schemas.openxmlformats.org/officeDocument/2006/customXml" ds:itemID="{1101B338-34B8-42D3-BF1D-546AA84C3776}"/>
</file>

<file path=customXml/itemProps4.xml><?xml version="1.0" encoding="utf-8"?>
<ds:datastoreItem xmlns:ds="http://schemas.openxmlformats.org/officeDocument/2006/customXml" ds:itemID="{3E5CD622-0B28-414E-B82C-2F62A5B91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EA70B7-250B-49E5-8287-6D98EB36A402}">
  <ds:schemaRefs>
    <ds:schemaRef ds:uri="http://schemas.microsoft.com/sharepoint/events"/>
  </ds:schemaRefs>
</ds:datastoreItem>
</file>

<file path=customXml/itemProps6.xml><?xml version="1.0" encoding="utf-8"?>
<ds:datastoreItem xmlns:ds="http://schemas.openxmlformats.org/officeDocument/2006/customXml" ds:itemID="{748E8B97-8162-4266-95E1-B688F6D072BA}"/>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stanlg</dc:creator>
  <cp:lastModifiedBy>coughc</cp:lastModifiedBy>
  <cp:revision>3</cp:revision>
  <dcterms:created xsi:type="dcterms:W3CDTF">2017-10-06T00:21:00Z</dcterms:created>
  <dcterms:modified xsi:type="dcterms:W3CDTF">2017-10-06T00:42:00Z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de4b90f5-c4b5-4ed1-ac04-0fb5b40e9c94</vt:lpwstr>
  </property>
  <property fmtid="{D5CDD505-2E9C-101B-9397-08002B2CF9AE}" pid="6" name="SPPCopyMoveEvent">
    <vt:lpwstr>1</vt:lpwstr>
  </property>
  <property fmtid="{D5CDD505-2E9C-101B-9397-08002B2CF9AE}" pid="7" name="a41428b017d04df981d58ffdf035d7b8">
    <vt:lpwstr>|e1e32ca4-364d-46d7-813a-d3141d2fc5b3</vt:lpwstr>
  </property>
</Properties>
</file>